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8B0" w:rsidP="007268B0" w:rsidRDefault="007268B0" w14:paraId="74D37BAB" w14:textId="77777777">
      <w:pPr>
        <w:pStyle w:val="Title"/>
      </w:pPr>
    </w:p>
    <w:p w:rsidR="007268B0" w:rsidP="007268B0" w:rsidRDefault="007268B0" w14:paraId="386955DD" w14:textId="77777777">
      <w:pPr>
        <w:pStyle w:val="Title"/>
      </w:pPr>
    </w:p>
    <w:p w:rsidR="007268B0" w:rsidP="007268B0" w:rsidRDefault="007268B0" w14:paraId="47EF67F3" w14:textId="77777777">
      <w:pPr>
        <w:pStyle w:val="Title"/>
      </w:pPr>
    </w:p>
    <w:p w:rsidR="00B546C3" w:rsidP="00B546C3" w:rsidRDefault="00877CB2" w14:paraId="0D5D0C8E" w14:textId="0967579B">
      <w:pPr>
        <w:pStyle w:val="Title"/>
      </w:pPr>
      <w:r w:rsidRPr="00877CB2">
        <w:rPr>
          <w:b/>
          <w:bCs/>
          <w:sz w:val="72"/>
          <w:szCs w:val="72"/>
        </w:rPr>
        <w:t>Joint VAWG Sector General Election Manifesto Summary</w:t>
      </w:r>
      <w:r w:rsidRPr="00F97A89" w:rsidR="00B546C3">
        <w:br/>
      </w:r>
    </w:p>
    <w:p w:rsidRPr="004772F7" w:rsidR="007268B0" w:rsidP="007268B0" w:rsidRDefault="007268B0" w14:paraId="1C58696E" w14:textId="77777777">
      <w:pPr>
        <w:rPr>
          <w:sz w:val="32"/>
          <w:szCs w:val="32"/>
        </w:rPr>
      </w:pPr>
    </w:p>
    <w:p w:rsidRPr="004772F7" w:rsidR="007268B0" w:rsidP="007268B0" w:rsidRDefault="007268B0" w14:paraId="2E1FDA08" w14:textId="130C2AFC">
      <w:pPr>
        <w:rPr>
          <w:color w:val="B6006C" w:themeColor="accent1"/>
          <w:sz w:val="32"/>
          <w:szCs w:val="32"/>
        </w:rPr>
      </w:pPr>
      <w:r w:rsidRPr="004772F7">
        <w:rPr>
          <w:color w:val="B6006C" w:themeColor="accent1"/>
          <w:sz w:val="32"/>
          <w:szCs w:val="32"/>
        </w:rPr>
        <w:t>Plain-text version</w:t>
      </w:r>
    </w:p>
    <w:p w:rsidRPr="004772F7" w:rsidR="007268B0" w:rsidP="007268B0" w:rsidRDefault="007268B0" w14:paraId="4CFA6BC2" w14:textId="77777777">
      <w:pPr>
        <w:rPr>
          <w:sz w:val="32"/>
          <w:szCs w:val="32"/>
        </w:rPr>
      </w:pPr>
    </w:p>
    <w:p w:rsidRPr="004772F7" w:rsidR="007268B0" w:rsidP="007268B0" w:rsidRDefault="007268B0" w14:paraId="6394599E" w14:textId="77777777">
      <w:pPr>
        <w:rPr>
          <w:sz w:val="32"/>
          <w:szCs w:val="32"/>
        </w:rPr>
      </w:pPr>
    </w:p>
    <w:p w:rsidRPr="004772F7" w:rsidR="007268B0" w:rsidP="007268B0" w:rsidRDefault="007268B0" w14:paraId="39F0A853" w14:textId="77777777">
      <w:pPr>
        <w:rPr>
          <w:sz w:val="32"/>
          <w:szCs w:val="32"/>
        </w:rPr>
      </w:pPr>
    </w:p>
    <w:p w:rsidRPr="004772F7" w:rsidR="008C1B12" w:rsidP="007268B0" w:rsidRDefault="008C1B12" w14:paraId="5EB9CFA5" w14:textId="77777777">
      <w:pPr>
        <w:rPr>
          <w:sz w:val="32"/>
          <w:szCs w:val="32"/>
        </w:rPr>
      </w:pPr>
    </w:p>
    <w:p w:rsidRPr="004772F7" w:rsidR="008C1B12" w:rsidP="007268B0" w:rsidRDefault="008C1B12" w14:paraId="0A4B58FA" w14:textId="77777777">
      <w:pPr>
        <w:rPr>
          <w:sz w:val="32"/>
          <w:szCs w:val="32"/>
        </w:rPr>
      </w:pPr>
    </w:p>
    <w:p w:rsidRPr="004772F7" w:rsidR="008C1B12" w:rsidP="007268B0" w:rsidRDefault="008C1B12" w14:paraId="4EB2CC7E" w14:textId="77777777">
      <w:pPr>
        <w:rPr>
          <w:sz w:val="32"/>
          <w:szCs w:val="32"/>
        </w:rPr>
      </w:pPr>
    </w:p>
    <w:p w:rsidRPr="004772F7" w:rsidR="00E04BFC" w:rsidP="007268B0" w:rsidRDefault="00E04BFC" w14:paraId="53FEB876" w14:textId="77777777">
      <w:pPr>
        <w:rPr>
          <w:sz w:val="32"/>
          <w:szCs w:val="32"/>
        </w:rPr>
      </w:pPr>
    </w:p>
    <w:sdt>
      <w:sdtPr>
        <w:rPr>
          <w:rFonts w:asciiTheme="minorHAnsi" w:hAnsiTheme="minorHAnsi" w:eastAsiaTheme="minorHAnsi" w:cstheme="minorBidi"/>
          <w:color w:val="auto"/>
          <w:kern w:val="2"/>
          <w:sz w:val="32"/>
          <w:lang w:val="en-GB"/>
          <w14:ligatures w14:val="standardContextual"/>
        </w:rPr>
        <w:id w:val="-1242401463"/>
        <w:docPartObj>
          <w:docPartGallery w:val="Table of Contents"/>
          <w:docPartUnique/>
        </w:docPartObj>
      </w:sdtPr>
      <w:sdtEndPr>
        <w:rPr>
          <w:b/>
          <w:bCs/>
          <w:noProof/>
        </w:rPr>
      </w:sdtEndPr>
      <w:sdtContent>
        <w:p w:rsidRPr="004772F7" w:rsidR="005C73CD" w:rsidRDefault="005C73CD" w14:paraId="31D86356" w14:textId="38D4E8F5">
          <w:pPr>
            <w:pStyle w:val="TOCHeading"/>
            <w:rPr>
              <w:sz w:val="32"/>
            </w:rPr>
          </w:pPr>
          <w:r w:rsidRPr="004772F7">
            <w:rPr>
              <w:sz w:val="32"/>
            </w:rPr>
            <w:t>Contents</w:t>
          </w:r>
        </w:p>
        <w:p w:rsidRPr="004772F7" w:rsidR="00E72169" w:rsidRDefault="005C73CD" w14:paraId="1A73D49B" w14:textId="48D12F95">
          <w:pPr>
            <w:pStyle w:val="TOC1"/>
            <w:rPr>
              <w:rFonts w:eastAsiaTheme="minorEastAsia"/>
              <w:b w:val="0"/>
              <w:bCs w:val="0"/>
              <w:sz w:val="32"/>
              <w:szCs w:val="32"/>
              <w:lang w:eastAsia="en-GB"/>
            </w:rPr>
          </w:pPr>
          <w:r w:rsidRPr="004772F7">
            <w:rPr>
              <w:sz w:val="32"/>
              <w:szCs w:val="32"/>
            </w:rPr>
            <w:fldChar w:fldCharType="begin"/>
          </w:r>
          <w:r w:rsidRPr="004772F7">
            <w:rPr>
              <w:sz w:val="32"/>
              <w:szCs w:val="32"/>
            </w:rPr>
            <w:instrText xml:space="preserve"> TOC \o "1-3" \h \z \u </w:instrText>
          </w:r>
          <w:r w:rsidRPr="004772F7">
            <w:rPr>
              <w:sz w:val="32"/>
              <w:szCs w:val="32"/>
            </w:rPr>
            <w:fldChar w:fldCharType="separate"/>
          </w:r>
          <w:hyperlink w:history="1" w:anchor="_Toc145679970">
            <w:r w:rsidRPr="004772F7" w:rsidR="00E72169">
              <w:rPr>
                <w:rStyle w:val="Hyperlink"/>
                <w:sz w:val="32"/>
                <w:szCs w:val="32"/>
              </w:rPr>
              <w:t>Accessibility</w:t>
            </w:r>
            <w:r w:rsidRPr="004772F7" w:rsidR="00E72169">
              <w:rPr>
                <w:webHidden/>
                <w:sz w:val="32"/>
                <w:szCs w:val="32"/>
              </w:rPr>
              <w:tab/>
            </w:r>
            <w:r w:rsidRPr="004772F7" w:rsidR="00E72169">
              <w:rPr>
                <w:webHidden/>
                <w:sz w:val="32"/>
                <w:szCs w:val="32"/>
              </w:rPr>
              <w:fldChar w:fldCharType="begin"/>
            </w:r>
            <w:r w:rsidRPr="004772F7" w:rsidR="00E72169">
              <w:rPr>
                <w:webHidden/>
                <w:sz w:val="32"/>
                <w:szCs w:val="32"/>
              </w:rPr>
              <w:instrText xml:space="preserve"> PAGEREF _Toc145679970 \h </w:instrText>
            </w:r>
            <w:r w:rsidRPr="004772F7" w:rsidR="00E72169">
              <w:rPr>
                <w:webHidden/>
                <w:sz w:val="32"/>
                <w:szCs w:val="32"/>
              </w:rPr>
            </w:r>
            <w:r w:rsidRPr="004772F7" w:rsidR="00E72169">
              <w:rPr>
                <w:webHidden/>
                <w:sz w:val="32"/>
                <w:szCs w:val="32"/>
              </w:rPr>
              <w:fldChar w:fldCharType="separate"/>
            </w:r>
            <w:r w:rsidR="004772F7">
              <w:rPr>
                <w:webHidden/>
                <w:sz w:val="32"/>
                <w:szCs w:val="32"/>
              </w:rPr>
              <w:t>3</w:t>
            </w:r>
            <w:r w:rsidRPr="004772F7" w:rsidR="00E72169">
              <w:rPr>
                <w:webHidden/>
                <w:sz w:val="32"/>
                <w:szCs w:val="32"/>
              </w:rPr>
              <w:fldChar w:fldCharType="end"/>
            </w:r>
          </w:hyperlink>
        </w:p>
        <w:p w:rsidRPr="004772F7" w:rsidR="00E72169" w:rsidRDefault="00E72169" w14:paraId="68B00796" w14:textId="5C6FFD93">
          <w:pPr>
            <w:pStyle w:val="TOC1"/>
            <w:rPr>
              <w:rFonts w:eastAsiaTheme="minorEastAsia"/>
              <w:b w:val="0"/>
              <w:bCs w:val="0"/>
              <w:sz w:val="32"/>
              <w:szCs w:val="32"/>
              <w:lang w:eastAsia="en-GB"/>
            </w:rPr>
          </w:pPr>
          <w:hyperlink w:history="1" w:anchor="_Toc145679971">
            <w:r w:rsidRPr="004772F7">
              <w:rPr>
                <w:rStyle w:val="Hyperlink"/>
                <w:sz w:val="32"/>
                <w:szCs w:val="32"/>
              </w:rPr>
              <w:t>Summary</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_Toc145679971 \h </w:instrText>
            </w:r>
            <w:r w:rsidRPr="004772F7">
              <w:rPr>
                <w:webHidden/>
                <w:sz w:val="32"/>
                <w:szCs w:val="32"/>
              </w:rPr>
            </w:r>
            <w:r w:rsidRPr="004772F7">
              <w:rPr>
                <w:webHidden/>
                <w:sz w:val="32"/>
                <w:szCs w:val="32"/>
              </w:rPr>
              <w:fldChar w:fldCharType="separate"/>
            </w:r>
            <w:r w:rsidR="004772F7">
              <w:rPr>
                <w:webHidden/>
                <w:sz w:val="32"/>
                <w:szCs w:val="32"/>
              </w:rPr>
              <w:t>3</w:t>
            </w:r>
            <w:r w:rsidRPr="004772F7">
              <w:rPr>
                <w:webHidden/>
                <w:sz w:val="32"/>
                <w:szCs w:val="32"/>
              </w:rPr>
              <w:fldChar w:fldCharType="end"/>
            </w:r>
          </w:hyperlink>
        </w:p>
        <w:p w:rsidRPr="004772F7" w:rsidR="00E72169" w:rsidRDefault="00E72169" w14:paraId="441FF80F" w14:textId="2BB2DD9B">
          <w:pPr>
            <w:pStyle w:val="TOC1"/>
            <w:rPr>
              <w:rFonts w:eastAsiaTheme="minorEastAsia"/>
              <w:b w:val="0"/>
              <w:bCs w:val="0"/>
              <w:sz w:val="32"/>
              <w:szCs w:val="32"/>
              <w:lang w:eastAsia="en-GB"/>
            </w:rPr>
          </w:pPr>
          <w:hyperlink w:history="1" w:anchor="_Toc145679972">
            <w:r w:rsidRPr="004772F7">
              <w:rPr>
                <w:rStyle w:val="Hyperlink"/>
                <w:sz w:val="32"/>
                <w:szCs w:val="32"/>
              </w:rPr>
              <w:t>Rights and inequalities</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_Toc145679972 \h </w:instrText>
            </w:r>
            <w:r w:rsidRPr="004772F7">
              <w:rPr>
                <w:webHidden/>
                <w:sz w:val="32"/>
                <w:szCs w:val="32"/>
              </w:rPr>
            </w:r>
            <w:r w:rsidRPr="004772F7">
              <w:rPr>
                <w:webHidden/>
                <w:sz w:val="32"/>
                <w:szCs w:val="32"/>
              </w:rPr>
              <w:fldChar w:fldCharType="separate"/>
            </w:r>
            <w:r w:rsidR="004772F7">
              <w:rPr>
                <w:webHidden/>
                <w:sz w:val="32"/>
                <w:szCs w:val="32"/>
              </w:rPr>
              <w:t>5</w:t>
            </w:r>
            <w:r w:rsidRPr="004772F7">
              <w:rPr>
                <w:webHidden/>
                <w:sz w:val="32"/>
                <w:szCs w:val="32"/>
              </w:rPr>
              <w:fldChar w:fldCharType="end"/>
            </w:r>
          </w:hyperlink>
        </w:p>
        <w:p w:rsidRPr="004772F7" w:rsidR="00E72169" w:rsidRDefault="00E72169" w14:paraId="197C26E0" w14:textId="114591E9">
          <w:pPr>
            <w:pStyle w:val="TOC1"/>
            <w:rPr>
              <w:rFonts w:eastAsiaTheme="minorEastAsia"/>
              <w:b w:val="0"/>
              <w:bCs w:val="0"/>
              <w:sz w:val="32"/>
              <w:szCs w:val="32"/>
              <w:lang w:eastAsia="en-GB"/>
            </w:rPr>
          </w:pPr>
          <w:hyperlink w:history="1" w:anchor="_Toc145679973">
            <w:r w:rsidRPr="004772F7">
              <w:rPr>
                <w:rStyle w:val="Hyperlink"/>
                <w:sz w:val="32"/>
                <w:szCs w:val="32"/>
              </w:rPr>
              <w:t>Funding and Commissioning, including ‘by and for’ provision</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_Toc145679973 \h </w:instrText>
            </w:r>
            <w:r w:rsidRPr="004772F7">
              <w:rPr>
                <w:webHidden/>
                <w:sz w:val="32"/>
                <w:szCs w:val="32"/>
              </w:rPr>
            </w:r>
            <w:r w:rsidRPr="004772F7">
              <w:rPr>
                <w:webHidden/>
                <w:sz w:val="32"/>
                <w:szCs w:val="32"/>
              </w:rPr>
              <w:fldChar w:fldCharType="separate"/>
            </w:r>
            <w:r w:rsidR="004772F7">
              <w:rPr>
                <w:webHidden/>
                <w:sz w:val="32"/>
                <w:szCs w:val="32"/>
              </w:rPr>
              <w:t>8</w:t>
            </w:r>
            <w:r w:rsidRPr="004772F7">
              <w:rPr>
                <w:webHidden/>
                <w:sz w:val="32"/>
                <w:szCs w:val="32"/>
              </w:rPr>
              <w:fldChar w:fldCharType="end"/>
            </w:r>
          </w:hyperlink>
        </w:p>
        <w:p w:rsidRPr="004772F7" w:rsidR="00E72169" w:rsidRDefault="00E72169" w14:paraId="4AEC2788" w14:textId="2A5D94D4">
          <w:pPr>
            <w:pStyle w:val="TOC1"/>
            <w:rPr>
              <w:rFonts w:eastAsiaTheme="minorEastAsia"/>
              <w:b w:val="0"/>
              <w:bCs w:val="0"/>
              <w:sz w:val="32"/>
              <w:szCs w:val="32"/>
              <w:lang w:eastAsia="en-GB"/>
            </w:rPr>
          </w:pPr>
          <w:hyperlink w:history="1" w:anchor="_Toc145679974">
            <w:r w:rsidRPr="004772F7">
              <w:rPr>
                <w:rStyle w:val="Hyperlink"/>
                <w:sz w:val="32"/>
                <w:szCs w:val="32"/>
              </w:rPr>
              <w:t>Economic barriers</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_Toc145679974 \h </w:instrText>
            </w:r>
            <w:r w:rsidRPr="004772F7">
              <w:rPr>
                <w:webHidden/>
                <w:sz w:val="32"/>
                <w:szCs w:val="32"/>
              </w:rPr>
            </w:r>
            <w:r w:rsidRPr="004772F7">
              <w:rPr>
                <w:webHidden/>
                <w:sz w:val="32"/>
                <w:szCs w:val="32"/>
              </w:rPr>
              <w:fldChar w:fldCharType="separate"/>
            </w:r>
            <w:r w:rsidR="004772F7">
              <w:rPr>
                <w:webHidden/>
                <w:sz w:val="32"/>
                <w:szCs w:val="32"/>
              </w:rPr>
              <w:t>9</w:t>
            </w:r>
            <w:r w:rsidRPr="004772F7">
              <w:rPr>
                <w:webHidden/>
                <w:sz w:val="32"/>
                <w:szCs w:val="32"/>
              </w:rPr>
              <w:fldChar w:fldCharType="end"/>
            </w:r>
          </w:hyperlink>
        </w:p>
        <w:p w:rsidRPr="004772F7" w:rsidR="00E72169" w:rsidRDefault="00E72169" w14:paraId="60B5632C" w14:textId="5CA31F1D">
          <w:pPr>
            <w:pStyle w:val="TOC1"/>
            <w:rPr>
              <w:rFonts w:eastAsiaTheme="minorEastAsia"/>
              <w:b w:val="0"/>
              <w:bCs w:val="0"/>
              <w:sz w:val="32"/>
              <w:szCs w:val="32"/>
              <w:lang w:eastAsia="en-GB"/>
            </w:rPr>
          </w:pPr>
          <w:hyperlink w:history="1" w:anchor="_Toc145679975">
            <w:r w:rsidRPr="004772F7">
              <w:rPr>
                <w:rStyle w:val="Hyperlink"/>
                <w:sz w:val="32"/>
                <w:szCs w:val="32"/>
              </w:rPr>
              <w:t>Partnerships and Multi-Agency Working</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_Toc145679975 \h </w:instrText>
            </w:r>
            <w:r w:rsidRPr="004772F7">
              <w:rPr>
                <w:webHidden/>
                <w:sz w:val="32"/>
                <w:szCs w:val="32"/>
              </w:rPr>
            </w:r>
            <w:r w:rsidRPr="004772F7">
              <w:rPr>
                <w:webHidden/>
                <w:sz w:val="32"/>
                <w:szCs w:val="32"/>
              </w:rPr>
              <w:fldChar w:fldCharType="separate"/>
            </w:r>
            <w:r w:rsidR="004772F7">
              <w:rPr>
                <w:webHidden/>
                <w:sz w:val="32"/>
                <w:szCs w:val="32"/>
              </w:rPr>
              <w:t>10</w:t>
            </w:r>
            <w:r w:rsidRPr="004772F7">
              <w:rPr>
                <w:webHidden/>
                <w:sz w:val="32"/>
                <w:szCs w:val="32"/>
              </w:rPr>
              <w:fldChar w:fldCharType="end"/>
            </w:r>
          </w:hyperlink>
        </w:p>
        <w:p w:rsidRPr="004772F7" w:rsidR="00E72169" w:rsidRDefault="00E72169" w14:paraId="29AA75DD" w14:textId="49802CC1">
          <w:pPr>
            <w:pStyle w:val="TOC1"/>
            <w:rPr>
              <w:rFonts w:eastAsiaTheme="minorEastAsia"/>
              <w:b w:val="0"/>
              <w:bCs w:val="0"/>
              <w:sz w:val="32"/>
              <w:szCs w:val="32"/>
              <w:lang w:eastAsia="en-GB"/>
            </w:rPr>
          </w:pPr>
          <w:hyperlink w:history="1" w:anchor="_Toc145679976">
            <w:r w:rsidRPr="004772F7">
              <w:rPr>
                <w:rStyle w:val="Hyperlink"/>
                <w:sz w:val="32"/>
                <w:szCs w:val="32"/>
              </w:rPr>
              <w:t>Health and adult social care</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_Toc145679976 \h </w:instrText>
            </w:r>
            <w:r w:rsidRPr="004772F7">
              <w:rPr>
                <w:webHidden/>
                <w:sz w:val="32"/>
                <w:szCs w:val="32"/>
              </w:rPr>
            </w:r>
            <w:r w:rsidRPr="004772F7">
              <w:rPr>
                <w:webHidden/>
                <w:sz w:val="32"/>
                <w:szCs w:val="32"/>
              </w:rPr>
              <w:fldChar w:fldCharType="separate"/>
            </w:r>
            <w:r w:rsidR="004772F7">
              <w:rPr>
                <w:webHidden/>
                <w:sz w:val="32"/>
                <w:szCs w:val="32"/>
              </w:rPr>
              <w:t>12</w:t>
            </w:r>
            <w:r w:rsidRPr="004772F7">
              <w:rPr>
                <w:webHidden/>
                <w:sz w:val="32"/>
                <w:szCs w:val="32"/>
              </w:rPr>
              <w:fldChar w:fldCharType="end"/>
            </w:r>
          </w:hyperlink>
        </w:p>
        <w:p w:rsidRPr="004772F7" w:rsidR="00E72169" w:rsidRDefault="00E72169" w14:paraId="0B7861D3" w14:textId="54EE9401">
          <w:pPr>
            <w:pStyle w:val="TOC1"/>
            <w:rPr>
              <w:rFonts w:eastAsiaTheme="minorEastAsia"/>
              <w:b w:val="0"/>
              <w:bCs w:val="0"/>
              <w:sz w:val="32"/>
              <w:szCs w:val="32"/>
              <w:lang w:eastAsia="en-GB"/>
            </w:rPr>
          </w:pPr>
          <w:hyperlink w:history="1" w:anchor="_Toc145679977">
            <w:r w:rsidRPr="004772F7">
              <w:rPr>
                <w:rStyle w:val="Hyperlink"/>
                <w:sz w:val="32"/>
                <w:szCs w:val="32"/>
              </w:rPr>
              <w:t>Housing</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_Toc145679977 \h </w:instrText>
            </w:r>
            <w:r w:rsidRPr="004772F7">
              <w:rPr>
                <w:webHidden/>
                <w:sz w:val="32"/>
                <w:szCs w:val="32"/>
              </w:rPr>
            </w:r>
            <w:r w:rsidRPr="004772F7">
              <w:rPr>
                <w:webHidden/>
                <w:sz w:val="32"/>
                <w:szCs w:val="32"/>
              </w:rPr>
              <w:fldChar w:fldCharType="separate"/>
            </w:r>
            <w:r w:rsidR="004772F7">
              <w:rPr>
                <w:webHidden/>
                <w:sz w:val="32"/>
                <w:szCs w:val="32"/>
              </w:rPr>
              <w:t>13</w:t>
            </w:r>
            <w:r w:rsidRPr="004772F7">
              <w:rPr>
                <w:webHidden/>
                <w:sz w:val="32"/>
                <w:szCs w:val="32"/>
              </w:rPr>
              <w:fldChar w:fldCharType="end"/>
            </w:r>
          </w:hyperlink>
        </w:p>
        <w:p w:rsidRPr="004772F7" w:rsidR="00E72169" w:rsidRDefault="00E72169" w14:paraId="244D9A85" w14:textId="1C6684ED">
          <w:pPr>
            <w:pStyle w:val="TOC1"/>
            <w:rPr>
              <w:rFonts w:eastAsiaTheme="minorEastAsia"/>
              <w:b w:val="0"/>
              <w:bCs w:val="0"/>
              <w:sz w:val="32"/>
              <w:szCs w:val="32"/>
              <w:lang w:eastAsia="en-GB"/>
            </w:rPr>
          </w:pPr>
          <w:hyperlink w:history="1" w:anchor="_Toc145679978">
            <w:r w:rsidRPr="004772F7">
              <w:rPr>
                <w:rStyle w:val="Hyperlink"/>
                <w:sz w:val="32"/>
                <w:szCs w:val="32"/>
              </w:rPr>
              <w:t>Family Courts and Children’s Social Care</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_Toc145679978 \h </w:instrText>
            </w:r>
            <w:r w:rsidRPr="004772F7">
              <w:rPr>
                <w:webHidden/>
                <w:sz w:val="32"/>
                <w:szCs w:val="32"/>
              </w:rPr>
            </w:r>
            <w:r w:rsidRPr="004772F7">
              <w:rPr>
                <w:webHidden/>
                <w:sz w:val="32"/>
                <w:szCs w:val="32"/>
              </w:rPr>
              <w:fldChar w:fldCharType="separate"/>
            </w:r>
            <w:r w:rsidR="004772F7">
              <w:rPr>
                <w:webHidden/>
                <w:sz w:val="32"/>
                <w:szCs w:val="32"/>
              </w:rPr>
              <w:t>14</w:t>
            </w:r>
            <w:r w:rsidRPr="004772F7">
              <w:rPr>
                <w:webHidden/>
                <w:sz w:val="32"/>
                <w:szCs w:val="32"/>
              </w:rPr>
              <w:fldChar w:fldCharType="end"/>
            </w:r>
          </w:hyperlink>
        </w:p>
        <w:p w:rsidRPr="004772F7" w:rsidR="00E72169" w:rsidRDefault="00E72169" w14:paraId="502DA300" w14:textId="1D99E2DE">
          <w:pPr>
            <w:pStyle w:val="TOC1"/>
            <w:rPr>
              <w:rFonts w:eastAsiaTheme="minorEastAsia"/>
              <w:b w:val="0"/>
              <w:bCs w:val="0"/>
              <w:sz w:val="32"/>
              <w:szCs w:val="32"/>
              <w:lang w:eastAsia="en-GB"/>
            </w:rPr>
          </w:pPr>
          <w:hyperlink w:history="1" w:anchor="_Toc145679979">
            <w:r w:rsidRPr="004772F7">
              <w:rPr>
                <w:rStyle w:val="Hyperlink"/>
                <w:sz w:val="32"/>
                <w:szCs w:val="32"/>
              </w:rPr>
              <w:t>Criminal Justice Reform</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_Toc145679979 \h </w:instrText>
            </w:r>
            <w:r w:rsidRPr="004772F7">
              <w:rPr>
                <w:webHidden/>
                <w:sz w:val="32"/>
                <w:szCs w:val="32"/>
              </w:rPr>
            </w:r>
            <w:r w:rsidRPr="004772F7">
              <w:rPr>
                <w:webHidden/>
                <w:sz w:val="32"/>
                <w:szCs w:val="32"/>
              </w:rPr>
              <w:fldChar w:fldCharType="separate"/>
            </w:r>
            <w:r w:rsidR="004772F7">
              <w:rPr>
                <w:webHidden/>
                <w:sz w:val="32"/>
                <w:szCs w:val="32"/>
              </w:rPr>
              <w:t>16</w:t>
            </w:r>
            <w:r w:rsidRPr="004772F7">
              <w:rPr>
                <w:webHidden/>
                <w:sz w:val="32"/>
                <w:szCs w:val="32"/>
              </w:rPr>
              <w:fldChar w:fldCharType="end"/>
            </w:r>
          </w:hyperlink>
        </w:p>
        <w:p w:rsidRPr="004772F7" w:rsidR="00E72169" w:rsidRDefault="00E72169" w14:paraId="01D32A2B" w14:textId="47634EBA">
          <w:pPr>
            <w:pStyle w:val="TOC1"/>
            <w:rPr>
              <w:rFonts w:eastAsiaTheme="minorEastAsia"/>
              <w:b w:val="0"/>
              <w:bCs w:val="0"/>
              <w:sz w:val="32"/>
              <w:szCs w:val="32"/>
              <w:lang w:eastAsia="en-GB"/>
            </w:rPr>
          </w:pPr>
          <w:hyperlink w:history="1" w:anchor="_Toc145679980">
            <w:r w:rsidRPr="004772F7">
              <w:rPr>
                <w:rStyle w:val="Hyperlink"/>
                <w:sz w:val="32"/>
                <w:szCs w:val="32"/>
              </w:rPr>
              <w:t>Perpetrators</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_Toc145679980 \h </w:instrText>
            </w:r>
            <w:r w:rsidRPr="004772F7">
              <w:rPr>
                <w:webHidden/>
                <w:sz w:val="32"/>
                <w:szCs w:val="32"/>
              </w:rPr>
            </w:r>
            <w:r w:rsidRPr="004772F7">
              <w:rPr>
                <w:webHidden/>
                <w:sz w:val="32"/>
                <w:szCs w:val="32"/>
              </w:rPr>
              <w:fldChar w:fldCharType="separate"/>
            </w:r>
            <w:r w:rsidR="004772F7">
              <w:rPr>
                <w:webHidden/>
                <w:sz w:val="32"/>
                <w:szCs w:val="32"/>
              </w:rPr>
              <w:t>18</w:t>
            </w:r>
            <w:r w:rsidRPr="004772F7">
              <w:rPr>
                <w:webHidden/>
                <w:sz w:val="32"/>
                <w:szCs w:val="32"/>
              </w:rPr>
              <w:fldChar w:fldCharType="end"/>
            </w:r>
          </w:hyperlink>
        </w:p>
        <w:p w:rsidRPr="004772F7" w:rsidR="00E72169" w:rsidRDefault="00E72169" w14:paraId="1D056E11" w14:textId="117F1CC1">
          <w:pPr>
            <w:pStyle w:val="TOC1"/>
            <w:rPr>
              <w:rFonts w:eastAsiaTheme="minorEastAsia"/>
              <w:b w:val="0"/>
              <w:bCs w:val="0"/>
              <w:sz w:val="32"/>
              <w:szCs w:val="32"/>
              <w:lang w:eastAsia="en-GB"/>
            </w:rPr>
          </w:pPr>
          <w:hyperlink w:history="1" w:anchor="_Toc145679981">
            <w:r w:rsidRPr="004772F7">
              <w:rPr>
                <w:rStyle w:val="Hyperlink"/>
                <w:sz w:val="32"/>
                <w:szCs w:val="32"/>
              </w:rPr>
              <w:t>Acknowledgements</w:t>
            </w:r>
            <w:r w:rsidRPr="004772F7">
              <w:rPr>
                <w:webHidden/>
                <w:sz w:val="32"/>
                <w:szCs w:val="32"/>
              </w:rPr>
              <w:tab/>
            </w:r>
            <w:r w:rsidRPr="004772F7">
              <w:rPr>
                <w:webHidden/>
                <w:sz w:val="32"/>
                <w:szCs w:val="32"/>
              </w:rPr>
              <w:fldChar w:fldCharType="begin"/>
            </w:r>
            <w:r w:rsidRPr="004772F7">
              <w:rPr>
                <w:webHidden/>
                <w:sz w:val="32"/>
                <w:szCs w:val="32"/>
              </w:rPr>
              <w:instrText xml:space="preserve"> PAGEREF _Toc145679981 \h </w:instrText>
            </w:r>
            <w:r w:rsidRPr="004772F7">
              <w:rPr>
                <w:webHidden/>
                <w:sz w:val="32"/>
                <w:szCs w:val="32"/>
              </w:rPr>
            </w:r>
            <w:r w:rsidRPr="004772F7">
              <w:rPr>
                <w:webHidden/>
                <w:sz w:val="32"/>
                <w:szCs w:val="32"/>
              </w:rPr>
              <w:fldChar w:fldCharType="separate"/>
            </w:r>
            <w:r w:rsidR="004772F7">
              <w:rPr>
                <w:webHidden/>
                <w:sz w:val="32"/>
                <w:szCs w:val="32"/>
              </w:rPr>
              <w:t>19</w:t>
            </w:r>
            <w:r w:rsidRPr="004772F7">
              <w:rPr>
                <w:webHidden/>
                <w:sz w:val="32"/>
                <w:szCs w:val="32"/>
              </w:rPr>
              <w:fldChar w:fldCharType="end"/>
            </w:r>
          </w:hyperlink>
        </w:p>
        <w:p w:rsidR="00E72169" w:rsidP="00E72169" w:rsidRDefault="005C73CD" w14:paraId="060A3451" w14:textId="77777777">
          <w:pPr>
            <w:rPr>
              <w:b/>
              <w:bCs/>
              <w:noProof/>
            </w:rPr>
          </w:pPr>
          <w:r w:rsidRPr="004772F7">
            <w:rPr>
              <w:b/>
              <w:bCs/>
              <w:noProof/>
              <w:sz w:val="32"/>
              <w:szCs w:val="32"/>
            </w:rPr>
            <w:fldChar w:fldCharType="end"/>
          </w:r>
        </w:p>
      </w:sdtContent>
    </w:sdt>
    <w:p w:rsidR="00E72169" w:rsidP="00E72169" w:rsidRDefault="006D5AB6" w14:paraId="405F742C" w14:textId="5ECD5386">
      <w:r>
        <w:tab/>
      </w:r>
      <w:bookmarkStart w:name="_Toc135898019" w:id="0"/>
      <w:bookmarkStart w:name="_Toc145679970" w:id="1"/>
    </w:p>
    <w:p w:rsidR="00E72169" w:rsidP="00E72169" w:rsidRDefault="00E72169" w14:paraId="179DE174" w14:textId="77777777">
      <w:pPr>
        <w:tabs>
          <w:tab w:val="left" w:pos="2700"/>
        </w:tabs>
      </w:pPr>
    </w:p>
    <w:p w:rsidR="00003FA0" w:rsidP="00003FA0" w:rsidRDefault="00003FA0" w14:paraId="1FF21CD9" w14:textId="23384298">
      <w:pPr>
        <w:pStyle w:val="Heading1"/>
      </w:pPr>
      <w:r>
        <w:lastRenderedPageBreak/>
        <w:t>Accessibility</w:t>
      </w:r>
      <w:bookmarkEnd w:id="0"/>
      <w:bookmarkEnd w:id="1"/>
      <w:r>
        <w:t xml:space="preserve"> </w:t>
      </w:r>
    </w:p>
    <w:p w:rsidRPr="004772F7" w:rsidR="009959B2" w:rsidP="0065736C" w:rsidRDefault="00003FA0" w14:paraId="575FAC4B" w14:textId="4202DF34">
      <w:pPr>
        <w:rPr>
          <w:sz w:val="32"/>
          <w:szCs w:val="32"/>
          <w:lang w:val="en-US"/>
        </w:rPr>
      </w:pPr>
      <w:r w:rsidRPr="004772F7">
        <w:rPr>
          <w:sz w:val="32"/>
          <w:szCs w:val="32"/>
          <w:lang w:val="en-US"/>
        </w:rPr>
        <w:t xml:space="preserve">This is a plain-text version of the </w:t>
      </w:r>
      <w:r w:rsidRPr="004772F7" w:rsidR="00877CB2">
        <w:rPr>
          <w:sz w:val="32"/>
          <w:szCs w:val="32"/>
          <w:lang w:val="en-US"/>
        </w:rPr>
        <w:t>Joint VAWG Sector General Election Manifesto Summary</w:t>
      </w:r>
      <w:r w:rsidRPr="004772F7" w:rsidR="00E04BFC">
        <w:rPr>
          <w:sz w:val="32"/>
          <w:szCs w:val="32"/>
          <w:lang w:val="en-US"/>
        </w:rPr>
        <w:t>.</w:t>
      </w:r>
    </w:p>
    <w:p w:rsidR="00AD6F53" w:rsidP="00AD6F53" w:rsidRDefault="00AD6F53" w14:paraId="344D4E25" w14:textId="77777777">
      <w:pPr>
        <w:tabs>
          <w:tab w:val="left" w:pos="924"/>
        </w:tabs>
        <w:rPr>
          <w:lang w:val="en-US"/>
        </w:rPr>
      </w:pPr>
    </w:p>
    <w:p w:rsidR="00227C3F" w:rsidP="00AD6F53" w:rsidRDefault="00731283" w14:paraId="5CF96213" w14:textId="77777777">
      <w:pPr>
        <w:pStyle w:val="Heading1"/>
      </w:pPr>
      <w:bookmarkStart w:name="_Toc145679971" w:id="2"/>
      <w:r>
        <w:t>Summary</w:t>
      </w:r>
      <w:bookmarkEnd w:id="2"/>
    </w:p>
    <w:p w:rsidRPr="00AD6F53" w:rsidR="00AD6F53" w:rsidP="00AD6F53" w:rsidRDefault="00731283" w14:paraId="2406CE34" w14:textId="6871488E">
      <w:pPr>
        <w:pStyle w:val="Heading1"/>
      </w:pPr>
      <w:r>
        <w:t xml:space="preserve"> </w:t>
      </w:r>
    </w:p>
    <w:p w:rsidRPr="004772F7" w:rsidR="00731283" w:rsidP="00731283" w:rsidRDefault="00731283" w14:paraId="36909D90" w14:textId="77777777">
      <w:pPr>
        <w:rPr>
          <w:sz w:val="32"/>
          <w:szCs w:val="32"/>
          <w:highlight w:val="white"/>
        </w:rPr>
      </w:pPr>
      <w:r w:rsidRPr="004772F7">
        <w:rPr>
          <w:sz w:val="32"/>
          <w:szCs w:val="32"/>
          <w:highlight w:val="white"/>
        </w:rPr>
        <w:t>Violence against women and girls (VAWG) is endemic across society and remains disturbingly present in the UK. The Istanbul Convention to which the UK government is signatory defines violence against women as follows:</w:t>
      </w:r>
    </w:p>
    <w:p w:rsidRPr="004772F7" w:rsidR="00DE17EB" w:rsidP="00731283" w:rsidRDefault="00DE17EB" w14:paraId="7114E0E2" w14:textId="7629A2F0">
      <w:pPr>
        <w:rPr>
          <w:sz w:val="32"/>
          <w:szCs w:val="32"/>
        </w:rPr>
      </w:pPr>
      <w:r w:rsidRPr="004772F7">
        <w:rPr>
          <w:sz w:val="32"/>
          <w:szCs w:val="32"/>
        </w:rPr>
        <w:t xml:space="preserve">“Violence against women is understood as a violation of human rights and a form of discrimination against women and shall mean all acts of gender-based violence that result in, or are likely to result in, physical, sexual, psychological or economic harm or suffering to women, including threats of </w:t>
      </w:r>
      <w:r w:rsidRPr="004772F7">
        <w:rPr>
          <w:sz w:val="32"/>
          <w:szCs w:val="32"/>
        </w:rPr>
        <w:lastRenderedPageBreak/>
        <w:t xml:space="preserve">such acts, coercion or arbitrary deprivation of liberty, whether occurring in public or in private life.” </w:t>
      </w:r>
      <w:r w:rsidRPr="004772F7">
        <w:rPr>
          <w:rStyle w:val="FootnoteReference"/>
          <w:sz w:val="32"/>
          <w:szCs w:val="32"/>
        </w:rPr>
        <w:footnoteReference w:id="1"/>
      </w:r>
    </w:p>
    <w:p w:rsidRPr="004772F7" w:rsidR="009F2084" w:rsidP="00731283" w:rsidRDefault="009F2084" w14:paraId="0690BBAF" w14:textId="3AD06377">
      <w:pPr>
        <w:rPr>
          <w:sz w:val="32"/>
          <w:szCs w:val="32"/>
          <w:highlight w:val="white"/>
        </w:rPr>
      </w:pPr>
      <w:r w:rsidRPr="004772F7">
        <w:rPr>
          <w:sz w:val="32"/>
          <w:szCs w:val="32"/>
        </w:rPr>
        <w:t>Specialist women-led</w:t>
      </w:r>
      <w:r w:rsidRPr="004772F7" w:rsidR="00E57B6A">
        <w:rPr>
          <w:rStyle w:val="FootnoteReference"/>
          <w:sz w:val="32"/>
          <w:szCs w:val="32"/>
        </w:rPr>
        <w:footnoteReference w:id="2"/>
      </w:r>
      <w:r w:rsidRPr="004772F7">
        <w:rPr>
          <w:sz w:val="32"/>
          <w:szCs w:val="32"/>
        </w:rPr>
        <w:t xml:space="preserve"> and ‘by and for’</w:t>
      </w:r>
      <w:r w:rsidRPr="004772F7" w:rsidR="00192AA8">
        <w:rPr>
          <w:rStyle w:val="FootnoteReference"/>
          <w:sz w:val="32"/>
          <w:szCs w:val="32"/>
        </w:rPr>
        <w:footnoteReference w:id="3"/>
      </w:r>
      <w:r w:rsidRPr="004772F7">
        <w:rPr>
          <w:sz w:val="32"/>
          <w:szCs w:val="32"/>
        </w:rPr>
        <w:t xml:space="preserve"> VAWG organisations are grappling with increased demand for support from survivors in the context of a cost of living crisis</w:t>
      </w:r>
      <w:r w:rsidRPr="004772F7" w:rsidR="00192AA8">
        <w:rPr>
          <w:rStyle w:val="FootnoteReference"/>
          <w:sz w:val="32"/>
          <w:szCs w:val="32"/>
        </w:rPr>
        <w:footnoteReference w:id="4"/>
      </w:r>
      <w:r w:rsidRPr="004772F7">
        <w:rPr>
          <w:sz w:val="32"/>
          <w:szCs w:val="32"/>
        </w:rPr>
        <w:t xml:space="preserve"> and with the lasting impact of the Covid-19 pandemic.</w:t>
      </w:r>
      <w:r w:rsidRPr="004772F7" w:rsidR="00B252D2">
        <w:rPr>
          <w:rStyle w:val="FootnoteReference"/>
          <w:sz w:val="32"/>
          <w:szCs w:val="32"/>
        </w:rPr>
        <w:footnoteReference w:id="5"/>
      </w:r>
      <w:r w:rsidRPr="004772F7">
        <w:rPr>
          <w:sz w:val="32"/>
          <w:szCs w:val="32"/>
        </w:rPr>
        <w:t xml:space="preserve"> Those supporting migrant survivors are confronted with barriers to women’s safety in the form of ‘hostile environment’ policies such as the No Recourse to Public Funds condition and the consequences of new punitive legislation towards people who cross borders. Meanwhile, we have witnessed an </w:t>
      </w:r>
      <w:r w:rsidRPr="004772F7">
        <w:rPr>
          <w:sz w:val="32"/>
          <w:szCs w:val="32"/>
        </w:rPr>
        <w:lastRenderedPageBreak/>
        <w:t>explosion of misogyny online, which creates new and ever-emerging opportunities for VAWG in the digital sphere.</w:t>
      </w:r>
      <w:r w:rsidRPr="004772F7" w:rsidR="00F009EA">
        <w:rPr>
          <w:rStyle w:val="FootnoteReference"/>
          <w:sz w:val="32"/>
          <w:szCs w:val="32"/>
        </w:rPr>
        <w:footnoteReference w:id="6"/>
      </w:r>
      <w:r w:rsidRPr="004772F7">
        <w:rPr>
          <w:sz w:val="32"/>
          <w:szCs w:val="32"/>
        </w:rPr>
        <w:t xml:space="preserve"> </w:t>
      </w:r>
      <w:proofErr w:type="gramStart"/>
      <w:r w:rsidRPr="004772F7">
        <w:rPr>
          <w:sz w:val="32"/>
          <w:szCs w:val="32"/>
        </w:rPr>
        <w:t>It is clear that significant</w:t>
      </w:r>
      <w:proofErr w:type="gramEnd"/>
      <w:r w:rsidRPr="004772F7">
        <w:rPr>
          <w:sz w:val="32"/>
          <w:szCs w:val="32"/>
        </w:rPr>
        <w:t xml:space="preserve"> action is needed to tackle this problem.</w:t>
      </w:r>
    </w:p>
    <w:p w:rsidRPr="004772F7" w:rsidR="00866357" w:rsidP="00866357" w:rsidRDefault="008204CE" w14:paraId="0DDDFD58" w14:textId="1B79B449">
      <w:pPr>
        <w:rPr>
          <w:sz w:val="32"/>
          <w:szCs w:val="32"/>
        </w:rPr>
      </w:pPr>
      <w:r w:rsidRPr="004772F7">
        <w:rPr>
          <w:sz w:val="32"/>
          <w:szCs w:val="32"/>
        </w:rPr>
        <w:t>“The current efforts are just putting a sticking plaster on the issue – it’s not making a difference to survivors.” Survivor, 2023</w:t>
      </w:r>
    </w:p>
    <w:p w:rsidRPr="004772F7" w:rsidR="00B925C1" w:rsidP="00866357" w:rsidRDefault="00B925C1" w14:paraId="0528F577" w14:textId="5614CDA2">
      <w:pPr>
        <w:rPr>
          <w:sz w:val="32"/>
          <w:szCs w:val="32"/>
        </w:rPr>
      </w:pPr>
      <w:r w:rsidRPr="004772F7">
        <w:rPr>
          <w:sz w:val="32"/>
          <w:szCs w:val="32"/>
        </w:rPr>
        <w:t>We are calling for a comprehensive whole-system approach to addressing VAWG for all who are subjected to this oppression, both online and offline, and for cohesive support that is strategically aligned to the ‘by and for’ sector.</w:t>
      </w:r>
    </w:p>
    <w:p w:rsidR="00E72169" w:rsidP="00866357" w:rsidRDefault="00E72169" w14:paraId="4D5CEF62" w14:textId="77777777"/>
    <w:p w:rsidR="00B7051A" w:rsidP="00866357" w:rsidRDefault="00B7051A" w14:paraId="7292774D" w14:textId="77777777"/>
    <w:p w:rsidR="00B7051A" w:rsidP="00B7051A" w:rsidRDefault="00B7051A" w14:paraId="2B0ECC22" w14:textId="4666D8A8">
      <w:pPr>
        <w:pStyle w:val="Heading1"/>
      </w:pPr>
      <w:bookmarkStart w:name="_Toc145679972" w:id="3"/>
      <w:r w:rsidRPr="00B7051A">
        <w:t>Rights and inequalities</w:t>
      </w:r>
      <w:bookmarkEnd w:id="3"/>
    </w:p>
    <w:p w:rsidR="00421B0B" w:rsidP="00421B0B" w:rsidRDefault="00421B0B" w14:paraId="6534ED39" w14:textId="77777777">
      <w:pPr>
        <w:rPr>
          <w:rFonts w:ascii="Arial" w:hAnsi="Arial" w:cs="Arial"/>
        </w:rPr>
      </w:pPr>
    </w:p>
    <w:p w:rsidRPr="004772F7" w:rsidR="00421B0B" w:rsidP="005074AE" w:rsidRDefault="00421B0B" w14:paraId="7E0607C7" w14:textId="77777777">
      <w:pPr>
        <w:pStyle w:val="ListParagraph"/>
        <w:numPr>
          <w:ilvl w:val="0"/>
          <w:numId w:val="1"/>
        </w:numPr>
        <w:rPr>
          <w:sz w:val="32"/>
          <w:szCs w:val="32"/>
        </w:rPr>
      </w:pPr>
      <w:r w:rsidRPr="004772F7">
        <w:rPr>
          <w:sz w:val="32"/>
          <w:szCs w:val="32"/>
        </w:rPr>
        <w:t>Uphold the established international and human rights-based definitions of VAWG.</w:t>
      </w:r>
    </w:p>
    <w:p w:rsidRPr="004772F7" w:rsidR="00421B0B" w:rsidP="005074AE" w:rsidRDefault="00421B0B" w14:paraId="5064E731" w14:textId="77777777">
      <w:pPr>
        <w:pStyle w:val="ListParagraph"/>
        <w:numPr>
          <w:ilvl w:val="0"/>
          <w:numId w:val="1"/>
        </w:numPr>
        <w:rPr>
          <w:sz w:val="32"/>
          <w:szCs w:val="32"/>
        </w:rPr>
      </w:pPr>
      <w:r w:rsidRPr="004772F7">
        <w:rPr>
          <w:sz w:val="32"/>
          <w:szCs w:val="32"/>
        </w:rPr>
        <w:lastRenderedPageBreak/>
        <w:t>Preserve and promote domestic and international human rights and equalities legislation, including the principle of universal human rights.</w:t>
      </w:r>
    </w:p>
    <w:p w:rsidRPr="004772F7" w:rsidR="00421B0B" w:rsidP="005074AE" w:rsidRDefault="00421B0B" w14:paraId="7D839CEA" w14:textId="0A73FFBF">
      <w:pPr>
        <w:pStyle w:val="ListParagraph"/>
        <w:numPr>
          <w:ilvl w:val="0"/>
          <w:numId w:val="1"/>
        </w:numPr>
        <w:rPr>
          <w:sz w:val="32"/>
          <w:szCs w:val="32"/>
        </w:rPr>
      </w:pPr>
      <w:r w:rsidRPr="004772F7">
        <w:rPr>
          <w:sz w:val="32"/>
          <w:szCs w:val="32"/>
        </w:rPr>
        <w:t xml:space="preserve">Lead legal, policy and funding reform to deliver equal protection for all women - embedding the specialist women-led and </w:t>
      </w:r>
      <w:r w:rsidRPr="004772F7">
        <w:rPr>
          <w:rFonts w:ascii="Open Sans" w:hAnsi="Open Sans" w:cs="Open Sans"/>
          <w:sz w:val="32"/>
          <w:szCs w:val="32"/>
        </w:rPr>
        <w:t>‘</w:t>
      </w:r>
      <w:r w:rsidRPr="004772F7">
        <w:rPr>
          <w:sz w:val="32"/>
          <w:szCs w:val="32"/>
        </w:rPr>
        <w:t>by and for</w:t>
      </w:r>
      <w:r w:rsidRPr="004772F7">
        <w:rPr>
          <w:rFonts w:ascii="Open Sans" w:hAnsi="Open Sans" w:cs="Open Sans"/>
          <w:sz w:val="32"/>
          <w:szCs w:val="32"/>
        </w:rPr>
        <w:t>’</w:t>
      </w:r>
      <w:r w:rsidRPr="004772F7">
        <w:rPr>
          <w:sz w:val="32"/>
          <w:szCs w:val="32"/>
        </w:rPr>
        <w:t xml:space="preserve"> sector</w:t>
      </w:r>
      <w:r w:rsidRPr="004772F7">
        <w:rPr>
          <w:rFonts w:ascii="Open Sans" w:hAnsi="Open Sans" w:cs="Open Sans"/>
          <w:sz w:val="32"/>
          <w:szCs w:val="32"/>
        </w:rPr>
        <w:t>’</w:t>
      </w:r>
      <w:r w:rsidRPr="004772F7">
        <w:rPr>
          <w:sz w:val="32"/>
          <w:szCs w:val="32"/>
        </w:rPr>
        <w:t>s understanding of intersectionality to meet the needs of all women and girls, and the intersecting forms of oppression which they face.</w:t>
      </w:r>
      <w:r w:rsidRPr="004772F7" w:rsidR="00DB6427">
        <w:rPr>
          <w:rStyle w:val="FootnoteReference"/>
          <w:sz w:val="32"/>
          <w:szCs w:val="32"/>
        </w:rPr>
        <w:footnoteReference w:id="7"/>
      </w:r>
      <w:r w:rsidRPr="004772F7">
        <w:rPr>
          <w:sz w:val="32"/>
          <w:szCs w:val="32"/>
        </w:rPr>
        <w:t xml:space="preserve"> </w:t>
      </w:r>
    </w:p>
    <w:p w:rsidRPr="004772F7" w:rsidR="00421B0B" w:rsidP="005074AE" w:rsidRDefault="00421B0B" w14:paraId="4AA9D0ED" w14:textId="77777777">
      <w:pPr>
        <w:pStyle w:val="ListParagraph"/>
        <w:numPr>
          <w:ilvl w:val="0"/>
          <w:numId w:val="1"/>
        </w:numPr>
        <w:rPr>
          <w:sz w:val="32"/>
          <w:szCs w:val="32"/>
        </w:rPr>
      </w:pPr>
      <w:r w:rsidRPr="004772F7">
        <w:rPr>
          <w:sz w:val="32"/>
          <w:szCs w:val="32"/>
        </w:rPr>
        <w:t xml:space="preserve">Funding and deliver multi-year, long-term public communication campaigns and community responses that challenge harmful social norms and perpetrator and bystander behaviour. </w:t>
      </w:r>
    </w:p>
    <w:p w:rsidRPr="004772F7" w:rsidR="00421B0B" w:rsidP="005074AE" w:rsidRDefault="00421B0B" w14:paraId="2135481C" w14:textId="77777777">
      <w:pPr>
        <w:pStyle w:val="ListParagraph"/>
        <w:numPr>
          <w:ilvl w:val="0"/>
          <w:numId w:val="1"/>
        </w:numPr>
        <w:rPr>
          <w:sz w:val="32"/>
          <w:szCs w:val="32"/>
        </w:rPr>
      </w:pPr>
      <w:r w:rsidRPr="004772F7">
        <w:rPr>
          <w:sz w:val="32"/>
          <w:szCs w:val="32"/>
        </w:rPr>
        <w:t xml:space="preserve">Equip all relevant government departments and statutory agencies to deliver reforms across government to tackle gender inequality (such as equal pay and shared parental leave), paying close attention to intersecting inequalities and recognising that gender </w:t>
      </w:r>
      <w:r w:rsidRPr="004772F7">
        <w:rPr>
          <w:sz w:val="32"/>
          <w:szCs w:val="32"/>
        </w:rPr>
        <w:lastRenderedPageBreak/>
        <w:t xml:space="preserve">inequality cannot be separated out from other forms of inequality. </w:t>
      </w:r>
    </w:p>
    <w:p w:rsidRPr="004772F7" w:rsidR="00421B0B" w:rsidP="005074AE" w:rsidRDefault="00421B0B" w14:paraId="7AAB4F04" w14:textId="77777777">
      <w:pPr>
        <w:pStyle w:val="ListParagraph"/>
        <w:numPr>
          <w:ilvl w:val="0"/>
          <w:numId w:val="1"/>
        </w:numPr>
        <w:rPr>
          <w:sz w:val="32"/>
          <w:szCs w:val="32"/>
        </w:rPr>
      </w:pPr>
      <w:r w:rsidRPr="004772F7">
        <w:rPr>
          <w:sz w:val="32"/>
          <w:szCs w:val="32"/>
        </w:rPr>
        <w:t xml:space="preserve">Ensure the collection of comprehensive, </w:t>
      </w:r>
      <w:proofErr w:type="gramStart"/>
      <w:r w:rsidRPr="004772F7">
        <w:rPr>
          <w:sz w:val="32"/>
          <w:szCs w:val="32"/>
        </w:rPr>
        <w:t>comparable</w:t>
      </w:r>
      <w:proofErr w:type="gramEnd"/>
      <w:r w:rsidRPr="004772F7">
        <w:rPr>
          <w:sz w:val="32"/>
          <w:szCs w:val="32"/>
        </w:rPr>
        <w:t xml:space="preserve"> and disaggregated data on VAWG across government </w:t>
      </w:r>
      <w:r w:rsidRPr="004772F7">
        <w:rPr>
          <w:rFonts w:ascii="Open Sans" w:hAnsi="Open Sans" w:cs="Open Sans"/>
          <w:sz w:val="32"/>
          <w:szCs w:val="32"/>
        </w:rPr>
        <w:t>–</w:t>
      </w:r>
      <w:r w:rsidRPr="004772F7">
        <w:rPr>
          <w:sz w:val="32"/>
          <w:szCs w:val="32"/>
        </w:rPr>
        <w:t xml:space="preserve"> at a minimum data must always be collected on the protected characteristics for both victim and perpetrator(s) and their relationship, with appropriate safeguards for anonymity.</w:t>
      </w:r>
    </w:p>
    <w:p w:rsidRPr="004772F7" w:rsidR="00421B0B" w:rsidP="005074AE" w:rsidRDefault="00421B0B" w14:paraId="19963E86" w14:textId="77777777">
      <w:pPr>
        <w:pStyle w:val="ListParagraph"/>
        <w:numPr>
          <w:ilvl w:val="0"/>
          <w:numId w:val="1"/>
        </w:numPr>
        <w:rPr>
          <w:sz w:val="32"/>
          <w:szCs w:val="32"/>
        </w:rPr>
      </w:pPr>
      <w:r w:rsidRPr="004772F7">
        <w:rPr>
          <w:sz w:val="32"/>
          <w:szCs w:val="32"/>
        </w:rPr>
        <w:t>Government must commit to strategic investment to prevent and respond to VAWG in schools and higher education settings, including resourcing the delivery of a Whole School Approach.</w:t>
      </w:r>
    </w:p>
    <w:p w:rsidRPr="004772F7" w:rsidR="00421B0B" w:rsidP="005074AE" w:rsidRDefault="00421B0B" w14:paraId="7BE09860" w14:textId="77777777">
      <w:pPr>
        <w:pStyle w:val="ListParagraph"/>
        <w:numPr>
          <w:ilvl w:val="0"/>
          <w:numId w:val="1"/>
        </w:numPr>
        <w:rPr>
          <w:sz w:val="32"/>
          <w:szCs w:val="32"/>
        </w:rPr>
      </w:pPr>
      <w:r w:rsidRPr="004772F7">
        <w:rPr>
          <w:sz w:val="32"/>
          <w:szCs w:val="32"/>
        </w:rPr>
        <w:t xml:space="preserve">A commitment to protect the future of RSHE and RSE delivery - ensuring it takes an intersectional, </w:t>
      </w:r>
      <w:proofErr w:type="gramStart"/>
      <w:r w:rsidRPr="004772F7">
        <w:rPr>
          <w:sz w:val="32"/>
          <w:szCs w:val="32"/>
        </w:rPr>
        <w:t>inclusive</w:t>
      </w:r>
      <w:proofErr w:type="gramEnd"/>
      <w:r w:rsidRPr="004772F7">
        <w:rPr>
          <w:sz w:val="32"/>
          <w:szCs w:val="32"/>
        </w:rPr>
        <w:t xml:space="preserve"> and holistic approach, centres the voices and needs of children and young people. and valuing the expertise of the specialist VAWG sector, including in the development and delivery of curriculum materials. </w:t>
      </w:r>
    </w:p>
    <w:p w:rsidRPr="004772F7" w:rsidR="00421B0B" w:rsidP="005074AE" w:rsidRDefault="00421B0B" w14:paraId="7E3CACD6" w14:textId="00093270">
      <w:pPr>
        <w:pStyle w:val="ListParagraph"/>
        <w:numPr>
          <w:ilvl w:val="0"/>
          <w:numId w:val="1"/>
        </w:numPr>
        <w:rPr>
          <w:sz w:val="32"/>
          <w:szCs w:val="32"/>
        </w:rPr>
      </w:pPr>
      <w:r w:rsidRPr="004772F7">
        <w:rPr>
          <w:sz w:val="32"/>
          <w:szCs w:val="32"/>
        </w:rPr>
        <w:t xml:space="preserve">A commitment through legislation, and other mechanisms, to better address online VAWG - with a preventative, holistic and intersectional approach. </w:t>
      </w:r>
      <w:r w:rsidRPr="004772F7">
        <w:rPr>
          <w:sz w:val="32"/>
          <w:szCs w:val="32"/>
        </w:rPr>
        <w:lastRenderedPageBreak/>
        <w:t xml:space="preserve">Solutions should focus on safety-by-design and product security and require accountability and transparency from tech companies within a human rights framework. It should also be </w:t>
      </w:r>
      <w:proofErr w:type="gramStart"/>
      <w:r w:rsidRPr="004772F7">
        <w:rPr>
          <w:sz w:val="32"/>
          <w:szCs w:val="32"/>
        </w:rPr>
        <w:t>future-proofed</w:t>
      </w:r>
      <w:proofErr w:type="gramEnd"/>
      <w:r w:rsidRPr="004772F7">
        <w:rPr>
          <w:sz w:val="32"/>
          <w:szCs w:val="32"/>
        </w:rPr>
        <w:t xml:space="preserve"> to tackle emerging harms.</w:t>
      </w:r>
    </w:p>
    <w:p w:rsidRPr="004772F7" w:rsidR="00DF4685" w:rsidP="00DF4685" w:rsidRDefault="00DF4685" w14:paraId="65A52060" w14:textId="77777777">
      <w:pPr>
        <w:pStyle w:val="ListParagraph"/>
        <w:rPr>
          <w:sz w:val="32"/>
          <w:szCs w:val="32"/>
        </w:rPr>
      </w:pPr>
    </w:p>
    <w:p w:rsidRPr="004772F7" w:rsidR="00DF4685" w:rsidP="00DF4685" w:rsidRDefault="00DF4685" w14:paraId="5AC95F49" w14:textId="77777777">
      <w:pPr>
        <w:pStyle w:val="Heading1"/>
        <w:rPr>
          <w:sz w:val="32"/>
        </w:rPr>
      </w:pPr>
      <w:bookmarkStart w:name="_Toc145679973" w:id="4"/>
      <w:r w:rsidRPr="004772F7">
        <w:rPr>
          <w:sz w:val="32"/>
        </w:rPr>
        <w:t xml:space="preserve">Funding and Commissioning, including ‘by and for’ </w:t>
      </w:r>
      <w:proofErr w:type="gramStart"/>
      <w:r w:rsidRPr="004772F7">
        <w:rPr>
          <w:sz w:val="32"/>
        </w:rPr>
        <w:t>provision</w:t>
      </w:r>
      <w:bookmarkEnd w:id="4"/>
      <w:proofErr w:type="gramEnd"/>
    </w:p>
    <w:p w:rsidRPr="004772F7" w:rsidR="005E2B5B" w:rsidP="005E2B5B" w:rsidRDefault="005E2B5B" w14:paraId="1E012EB1" w14:textId="77777777">
      <w:pPr>
        <w:rPr>
          <w:sz w:val="32"/>
          <w:szCs w:val="32"/>
        </w:rPr>
      </w:pPr>
    </w:p>
    <w:p w:rsidRPr="004772F7" w:rsidR="005E2B5B" w:rsidP="005074AE" w:rsidRDefault="005E2B5B" w14:paraId="2784528E" w14:textId="77777777">
      <w:pPr>
        <w:pStyle w:val="ListParagraph"/>
        <w:numPr>
          <w:ilvl w:val="0"/>
          <w:numId w:val="2"/>
        </w:numPr>
        <w:rPr>
          <w:sz w:val="32"/>
          <w:szCs w:val="32"/>
        </w:rPr>
      </w:pPr>
      <w:r w:rsidRPr="004772F7">
        <w:rPr>
          <w:sz w:val="32"/>
          <w:szCs w:val="32"/>
        </w:rPr>
        <w:t xml:space="preserve">Deliver a secure, national multi-year funding settlement for the specialist VAWG sector, including a national ring-fenced funding for specialist services led </w:t>
      </w:r>
      <w:r w:rsidRPr="004772F7">
        <w:rPr>
          <w:rFonts w:ascii="Open Sans" w:hAnsi="Open Sans" w:cs="Open Sans"/>
          <w:sz w:val="32"/>
          <w:szCs w:val="32"/>
        </w:rPr>
        <w:t>‘</w:t>
      </w:r>
      <w:r w:rsidRPr="004772F7">
        <w:rPr>
          <w:sz w:val="32"/>
          <w:szCs w:val="32"/>
        </w:rPr>
        <w:t>by and for</w:t>
      </w:r>
      <w:r w:rsidRPr="004772F7">
        <w:rPr>
          <w:rFonts w:ascii="Open Sans" w:hAnsi="Open Sans" w:cs="Open Sans"/>
          <w:sz w:val="32"/>
          <w:szCs w:val="32"/>
        </w:rPr>
        <w:t>’</w:t>
      </w:r>
      <w:r w:rsidRPr="004772F7">
        <w:rPr>
          <w:sz w:val="32"/>
          <w:szCs w:val="32"/>
        </w:rPr>
        <w:t xml:space="preserve"> Black and </w:t>
      </w:r>
      <w:proofErr w:type="spellStart"/>
      <w:r w:rsidRPr="004772F7">
        <w:rPr>
          <w:sz w:val="32"/>
          <w:szCs w:val="32"/>
        </w:rPr>
        <w:t>minoritised</w:t>
      </w:r>
      <w:proofErr w:type="spellEnd"/>
      <w:r w:rsidRPr="004772F7">
        <w:rPr>
          <w:sz w:val="32"/>
          <w:szCs w:val="32"/>
        </w:rPr>
        <w:t xml:space="preserve"> women, d/Deaf and disabled </w:t>
      </w:r>
      <w:proofErr w:type="gramStart"/>
      <w:r w:rsidRPr="004772F7">
        <w:rPr>
          <w:sz w:val="32"/>
          <w:szCs w:val="32"/>
        </w:rPr>
        <w:t>women</w:t>
      </w:r>
      <w:proofErr w:type="gramEnd"/>
      <w:r w:rsidRPr="004772F7">
        <w:rPr>
          <w:sz w:val="32"/>
          <w:szCs w:val="32"/>
        </w:rPr>
        <w:t xml:space="preserve"> and LGBT+ survivors.</w:t>
      </w:r>
    </w:p>
    <w:p w:rsidRPr="004772F7" w:rsidR="005E2B5B" w:rsidP="005074AE" w:rsidRDefault="005E2B5B" w14:paraId="6C5FEAE5" w14:textId="77777777">
      <w:pPr>
        <w:pStyle w:val="ListParagraph"/>
        <w:numPr>
          <w:ilvl w:val="0"/>
          <w:numId w:val="2"/>
        </w:numPr>
        <w:rPr>
          <w:sz w:val="32"/>
          <w:szCs w:val="32"/>
        </w:rPr>
      </w:pPr>
      <w:r w:rsidRPr="004772F7">
        <w:rPr>
          <w:sz w:val="32"/>
          <w:szCs w:val="32"/>
        </w:rPr>
        <w:t xml:space="preserve">Systematically reform the current competitive funding and commissioning landscape to ensure the specialist </w:t>
      </w:r>
      <w:r w:rsidRPr="004772F7">
        <w:rPr>
          <w:rFonts w:ascii="Open Sans" w:hAnsi="Open Sans" w:cs="Open Sans"/>
          <w:sz w:val="32"/>
          <w:szCs w:val="32"/>
        </w:rPr>
        <w:t>‘</w:t>
      </w:r>
      <w:r w:rsidRPr="004772F7">
        <w:rPr>
          <w:sz w:val="32"/>
          <w:szCs w:val="32"/>
        </w:rPr>
        <w:t>by and for</w:t>
      </w:r>
      <w:r w:rsidRPr="004772F7">
        <w:rPr>
          <w:rFonts w:ascii="Open Sans" w:hAnsi="Open Sans" w:cs="Open Sans"/>
          <w:sz w:val="32"/>
          <w:szCs w:val="32"/>
        </w:rPr>
        <w:t>’</w:t>
      </w:r>
      <w:r w:rsidRPr="004772F7">
        <w:rPr>
          <w:sz w:val="32"/>
          <w:szCs w:val="32"/>
        </w:rPr>
        <w:t xml:space="preserve"> VAWG sector can fairly access funding.</w:t>
      </w:r>
    </w:p>
    <w:p w:rsidRPr="004772F7" w:rsidR="005E2B5B" w:rsidP="005074AE" w:rsidRDefault="005E2B5B" w14:paraId="6DA14896" w14:textId="77777777">
      <w:pPr>
        <w:pStyle w:val="ListParagraph"/>
        <w:numPr>
          <w:ilvl w:val="0"/>
          <w:numId w:val="2"/>
        </w:numPr>
        <w:rPr>
          <w:sz w:val="32"/>
          <w:szCs w:val="32"/>
        </w:rPr>
      </w:pPr>
      <w:r w:rsidRPr="004772F7">
        <w:rPr>
          <w:sz w:val="32"/>
          <w:szCs w:val="32"/>
        </w:rPr>
        <w:t>Guarantee that local funding and commissioning processes adhere fully to the Equality Act and the Public Sector Equality Duty.</w:t>
      </w:r>
    </w:p>
    <w:p w:rsidRPr="004772F7" w:rsidR="005E2B5B" w:rsidP="005074AE" w:rsidRDefault="005E2B5B" w14:paraId="6718EF30" w14:textId="77777777">
      <w:pPr>
        <w:pStyle w:val="ListParagraph"/>
        <w:numPr>
          <w:ilvl w:val="0"/>
          <w:numId w:val="2"/>
        </w:numPr>
        <w:rPr>
          <w:sz w:val="32"/>
          <w:szCs w:val="32"/>
        </w:rPr>
      </w:pPr>
      <w:r w:rsidRPr="004772F7">
        <w:rPr>
          <w:sz w:val="32"/>
          <w:szCs w:val="32"/>
        </w:rPr>
        <w:lastRenderedPageBreak/>
        <w:t xml:space="preserve">Sustainable ring-fenced funding, for specialist sexual violence services, that includes appropriate contributions from Health and Education bodies. The government must commit to re-commissioning of the Rape and Sexual Abuse Fund as a multi-year fund beyond 2025. </w:t>
      </w:r>
    </w:p>
    <w:p w:rsidRPr="004772F7" w:rsidR="006D6193" w:rsidP="005074AE" w:rsidRDefault="005E2B5B" w14:paraId="4277FC81" w14:textId="1CBBDFFA">
      <w:pPr>
        <w:pStyle w:val="ListParagraph"/>
        <w:numPr>
          <w:ilvl w:val="0"/>
          <w:numId w:val="2"/>
        </w:numPr>
        <w:rPr>
          <w:sz w:val="32"/>
          <w:szCs w:val="32"/>
        </w:rPr>
      </w:pPr>
      <w:r w:rsidRPr="004772F7">
        <w:rPr>
          <w:sz w:val="32"/>
          <w:szCs w:val="32"/>
        </w:rPr>
        <w:t>Deliver a robust system of national accountability, based on established quality standards within the VAWG sector, to ensure survivors of all forms of VAWG can access the specialist support services they need - including services led ‘by and for’ survivors with additional protected characteristics.</w:t>
      </w:r>
    </w:p>
    <w:p w:rsidRPr="004772F7" w:rsidR="006D6193" w:rsidP="006D6193" w:rsidRDefault="006D6193" w14:paraId="6B4D60AC" w14:textId="38C7D51B">
      <w:pPr>
        <w:pStyle w:val="Heading1"/>
        <w:rPr>
          <w:sz w:val="32"/>
        </w:rPr>
      </w:pPr>
      <w:bookmarkStart w:name="_Toc145679974" w:id="5"/>
      <w:r w:rsidRPr="004772F7">
        <w:rPr>
          <w:sz w:val="32"/>
        </w:rPr>
        <w:t>Economic barriers</w:t>
      </w:r>
      <w:bookmarkEnd w:id="5"/>
    </w:p>
    <w:p w:rsidRPr="004772F7" w:rsidR="00FB3F5F" w:rsidP="00FB3F5F" w:rsidRDefault="00FB3F5F" w14:paraId="1F850DD0" w14:textId="77777777">
      <w:pPr>
        <w:rPr>
          <w:sz w:val="32"/>
          <w:szCs w:val="32"/>
        </w:rPr>
      </w:pPr>
    </w:p>
    <w:p w:rsidRPr="004772F7" w:rsidR="00FB3F5F" w:rsidP="005074AE" w:rsidRDefault="00FB3F5F" w14:paraId="63FD5094" w14:textId="77777777">
      <w:pPr>
        <w:pStyle w:val="ListParagraph"/>
        <w:numPr>
          <w:ilvl w:val="0"/>
          <w:numId w:val="3"/>
        </w:numPr>
        <w:rPr>
          <w:sz w:val="32"/>
          <w:szCs w:val="32"/>
        </w:rPr>
      </w:pPr>
      <w:r w:rsidRPr="004772F7">
        <w:rPr>
          <w:sz w:val="32"/>
          <w:szCs w:val="32"/>
        </w:rPr>
        <w:t>Better provision of legal services for survivors; introducing an exemption for the means test in civil, family and immigration proceedings for all survivors so they can access justice and the protections they and their families need.</w:t>
      </w:r>
    </w:p>
    <w:p w:rsidRPr="004772F7" w:rsidR="00FB3F5F" w:rsidP="005074AE" w:rsidRDefault="00FB3F5F" w14:paraId="6634EE12" w14:textId="77777777">
      <w:pPr>
        <w:pStyle w:val="ListParagraph"/>
        <w:numPr>
          <w:ilvl w:val="0"/>
          <w:numId w:val="3"/>
        </w:numPr>
        <w:rPr>
          <w:sz w:val="32"/>
          <w:szCs w:val="32"/>
        </w:rPr>
      </w:pPr>
      <w:r w:rsidRPr="004772F7">
        <w:rPr>
          <w:sz w:val="32"/>
          <w:szCs w:val="32"/>
        </w:rPr>
        <w:lastRenderedPageBreak/>
        <w:t>Emergency funding should be made available for domestic abuse victims, to assist them to flee the abuser and to cover their immediate and short-term costs. The fund should be available to all victims of domestic abuse equally and without discrimination, including migrant women with No Recourse to Public Funds.</w:t>
      </w:r>
    </w:p>
    <w:p w:rsidRPr="004772F7" w:rsidR="00FB3F5F" w:rsidP="005074AE" w:rsidRDefault="00FB3F5F" w14:paraId="7AE3B836" w14:textId="77777777">
      <w:pPr>
        <w:pStyle w:val="ListParagraph"/>
        <w:numPr>
          <w:ilvl w:val="0"/>
          <w:numId w:val="3"/>
        </w:numPr>
        <w:rPr>
          <w:sz w:val="32"/>
          <w:szCs w:val="32"/>
        </w:rPr>
      </w:pPr>
      <w:r w:rsidRPr="004772F7">
        <w:rPr>
          <w:sz w:val="32"/>
          <w:szCs w:val="32"/>
        </w:rPr>
        <w:t xml:space="preserve">Reduced energy costs for all refuges and community-based services during the </w:t>
      </w:r>
      <w:proofErr w:type="gramStart"/>
      <w:r w:rsidRPr="004772F7">
        <w:rPr>
          <w:sz w:val="32"/>
          <w:szCs w:val="32"/>
        </w:rPr>
        <w:t>cost of living</w:t>
      </w:r>
      <w:proofErr w:type="gramEnd"/>
      <w:r w:rsidRPr="004772F7">
        <w:rPr>
          <w:sz w:val="32"/>
          <w:szCs w:val="32"/>
        </w:rPr>
        <w:t xml:space="preserve"> crisis, for example by extending the remit of Warm Home Discount Scheme to include refuges and community-based service.</w:t>
      </w:r>
    </w:p>
    <w:p w:rsidRPr="004772F7" w:rsidR="00FB3F5F" w:rsidP="005074AE" w:rsidRDefault="00FB3F5F" w14:paraId="497032CD" w14:textId="3ED188E9">
      <w:pPr>
        <w:pStyle w:val="ListParagraph"/>
        <w:numPr>
          <w:ilvl w:val="0"/>
          <w:numId w:val="3"/>
        </w:numPr>
        <w:rPr>
          <w:sz w:val="32"/>
          <w:szCs w:val="32"/>
        </w:rPr>
      </w:pPr>
      <w:r w:rsidRPr="004772F7">
        <w:rPr>
          <w:sz w:val="32"/>
          <w:szCs w:val="32"/>
        </w:rPr>
        <w:t>Ensure the Violence Against Women and Girls National Statement of Expectations</w:t>
      </w:r>
      <w:r w:rsidRPr="004772F7" w:rsidR="00090454">
        <w:rPr>
          <w:rStyle w:val="FootnoteReference"/>
          <w:sz w:val="32"/>
          <w:szCs w:val="32"/>
        </w:rPr>
        <w:footnoteReference w:id="8"/>
      </w:r>
      <w:r w:rsidRPr="004772F7">
        <w:rPr>
          <w:sz w:val="32"/>
          <w:szCs w:val="32"/>
        </w:rPr>
        <w:t xml:space="preserve"> identifies the need for specialist economic advocacy, in partnership with money, debt, and benefits advice as well as financial services, to help survivors re-establish their economic independence and rebuild their lives.</w:t>
      </w:r>
    </w:p>
    <w:p w:rsidR="00EB739C" w:rsidP="00EB739C" w:rsidRDefault="00EB739C" w14:paraId="0B3B6894" w14:textId="77777777"/>
    <w:p w:rsidR="00EB739C" w:rsidP="00EB739C" w:rsidRDefault="00EB739C" w14:paraId="1264FECB" w14:textId="45D0C4AE">
      <w:pPr>
        <w:pStyle w:val="Heading1"/>
      </w:pPr>
      <w:bookmarkStart w:name="_Toc145679975" w:id="6"/>
      <w:r w:rsidRPr="00EB739C">
        <w:t>Partnerships and Multi-Agency Working</w:t>
      </w:r>
      <w:bookmarkEnd w:id="6"/>
    </w:p>
    <w:p w:rsidR="006B1A30" w:rsidP="006B1A30" w:rsidRDefault="006B1A30" w14:paraId="3DFA78D1" w14:textId="77777777"/>
    <w:p w:rsidRPr="004772F7" w:rsidR="006B1A30" w:rsidP="005074AE" w:rsidRDefault="006B1A30" w14:paraId="16B77C4E" w14:textId="77777777">
      <w:pPr>
        <w:pStyle w:val="ListParagraph"/>
        <w:numPr>
          <w:ilvl w:val="0"/>
          <w:numId w:val="4"/>
        </w:numPr>
        <w:rPr>
          <w:sz w:val="32"/>
          <w:szCs w:val="32"/>
        </w:rPr>
      </w:pPr>
      <w:r w:rsidRPr="004772F7">
        <w:rPr>
          <w:sz w:val="32"/>
          <w:szCs w:val="32"/>
        </w:rPr>
        <w:t>Deliver adequate funding for all public sector agencies to tackle VAWG; ensuring that they have the capacity to participate in a public health approach to preventing and responding to VAWG effectively. This must include with training delivered by specialist VAWG services to ensure professionals provide the right response to survivors and funded care pathways for survivors to access specialist VAWG services that is ring-fenced and sustained.</w:t>
      </w:r>
    </w:p>
    <w:p w:rsidRPr="004772F7" w:rsidR="006B1A30" w:rsidP="005074AE" w:rsidRDefault="006B1A30" w14:paraId="425F83E6" w14:textId="77777777">
      <w:pPr>
        <w:pStyle w:val="ListParagraph"/>
        <w:numPr>
          <w:ilvl w:val="0"/>
          <w:numId w:val="4"/>
        </w:numPr>
        <w:rPr>
          <w:sz w:val="32"/>
          <w:szCs w:val="32"/>
        </w:rPr>
      </w:pPr>
      <w:r w:rsidRPr="004772F7">
        <w:rPr>
          <w:sz w:val="32"/>
          <w:szCs w:val="32"/>
        </w:rPr>
        <w:t>Incentivise and encourage local areas to work together to respond to the changing nature of all forms of VAWG in their area - recognising the diversity of survivor experiences, understanding their local population and the specific needs of their communities so that they are adequately meeting the needs of</w:t>
      </w:r>
      <w:proofErr w:type="gramStart"/>
      <w:r w:rsidRPr="004772F7">
        <w:rPr>
          <w:sz w:val="32"/>
          <w:szCs w:val="32"/>
        </w:rPr>
        <w:t xml:space="preserve">, in particular, </w:t>
      </w:r>
      <w:proofErr w:type="spellStart"/>
      <w:r w:rsidRPr="004772F7">
        <w:rPr>
          <w:sz w:val="32"/>
          <w:szCs w:val="32"/>
        </w:rPr>
        <w:t>minoritised</w:t>
      </w:r>
      <w:proofErr w:type="spellEnd"/>
      <w:proofErr w:type="gramEnd"/>
      <w:r w:rsidRPr="004772F7">
        <w:rPr>
          <w:sz w:val="32"/>
          <w:szCs w:val="32"/>
        </w:rPr>
        <w:t xml:space="preserve"> and marginalised survivors.</w:t>
      </w:r>
    </w:p>
    <w:p w:rsidRPr="004772F7" w:rsidR="006B1A30" w:rsidP="005074AE" w:rsidRDefault="006B1A30" w14:paraId="21686F73" w14:textId="4A9B4980">
      <w:pPr>
        <w:pStyle w:val="ListParagraph"/>
        <w:numPr>
          <w:ilvl w:val="0"/>
          <w:numId w:val="4"/>
        </w:numPr>
        <w:rPr>
          <w:sz w:val="32"/>
          <w:szCs w:val="32"/>
        </w:rPr>
      </w:pPr>
      <w:r w:rsidRPr="004772F7">
        <w:rPr>
          <w:sz w:val="32"/>
          <w:szCs w:val="32"/>
        </w:rPr>
        <w:lastRenderedPageBreak/>
        <w:t xml:space="preserve">Equip Coordinated Community Responses to not just deliver a crisis response to VAWG but work to identify abuse early on and prevent it from happening in the first place. Clearly define the specialist VAWG sector as expert providers and critical strategic partners whose participation is essential for effective local, </w:t>
      </w:r>
      <w:proofErr w:type="gramStart"/>
      <w:r w:rsidRPr="004772F7">
        <w:rPr>
          <w:sz w:val="32"/>
          <w:szCs w:val="32"/>
        </w:rPr>
        <w:t>regional</w:t>
      </w:r>
      <w:proofErr w:type="gramEnd"/>
      <w:r w:rsidRPr="004772F7">
        <w:rPr>
          <w:sz w:val="32"/>
          <w:szCs w:val="32"/>
        </w:rPr>
        <w:t xml:space="preserve"> and national VAWG partnerships.</w:t>
      </w:r>
    </w:p>
    <w:p w:rsidR="002B5B58" w:rsidP="002B5B58" w:rsidRDefault="002B5B58" w14:paraId="27D153AC" w14:textId="77777777"/>
    <w:p w:rsidR="002B5B58" w:rsidP="002B5B58" w:rsidRDefault="002B5B58" w14:paraId="1DC475CA" w14:textId="03AC3DE0">
      <w:pPr>
        <w:pStyle w:val="Heading1"/>
      </w:pPr>
      <w:bookmarkStart w:name="_Toc145679976" w:id="7"/>
      <w:r w:rsidRPr="002B5B58">
        <w:t>Health and adult social care</w:t>
      </w:r>
      <w:bookmarkEnd w:id="7"/>
    </w:p>
    <w:p w:rsidR="00A16DCE" w:rsidP="00A16DCE" w:rsidRDefault="00A16DCE" w14:paraId="192E7AE8" w14:textId="77777777"/>
    <w:p w:rsidRPr="004772F7" w:rsidR="00A16DCE" w:rsidP="005074AE" w:rsidRDefault="00A16DCE" w14:paraId="5C0FF0FB" w14:textId="77777777">
      <w:pPr>
        <w:pStyle w:val="ListParagraph"/>
        <w:numPr>
          <w:ilvl w:val="0"/>
          <w:numId w:val="5"/>
        </w:numPr>
        <w:rPr>
          <w:sz w:val="32"/>
          <w:szCs w:val="32"/>
        </w:rPr>
      </w:pPr>
      <w:r w:rsidRPr="004772F7">
        <w:rPr>
          <w:sz w:val="32"/>
          <w:szCs w:val="32"/>
        </w:rPr>
        <w:t>Mandatory, continuous training on domestic abuse and mental health for healthcare professionals, delivered by specialists.</w:t>
      </w:r>
      <w:r w:rsidRPr="004772F7">
        <w:rPr>
          <w:rFonts w:ascii="Arial" w:hAnsi="Arial" w:cs="Arial"/>
          <w:sz w:val="32"/>
          <w:szCs w:val="32"/>
        </w:rPr>
        <w:t> </w:t>
      </w:r>
    </w:p>
    <w:p w:rsidRPr="004772F7" w:rsidR="00A16DCE" w:rsidP="005074AE" w:rsidRDefault="00A16DCE" w14:paraId="5414E41A" w14:textId="77777777">
      <w:pPr>
        <w:pStyle w:val="ListParagraph"/>
        <w:numPr>
          <w:ilvl w:val="0"/>
          <w:numId w:val="5"/>
        </w:numPr>
        <w:rPr>
          <w:sz w:val="32"/>
          <w:szCs w:val="32"/>
        </w:rPr>
      </w:pPr>
      <w:r w:rsidRPr="004772F7">
        <w:rPr>
          <w:sz w:val="32"/>
          <w:szCs w:val="32"/>
        </w:rPr>
        <w:t>Increased understanding among local commissioners of what mental health support survivors want and value.</w:t>
      </w:r>
      <w:r w:rsidRPr="004772F7">
        <w:rPr>
          <w:rFonts w:ascii="Arial" w:hAnsi="Arial" w:cs="Arial"/>
          <w:sz w:val="32"/>
          <w:szCs w:val="32"/>
        </w:rPr>
        <w:t> </w:t>
      </w:r>
      <w:r w:rsidRPr="004772F7">
        <w:rPr>
          <w:sz w:val="32"/>
          <w:szCs w:val="32"/>
        </w:rPr>
        <w:t xml:space="preserve"> </w:t>
      </w:r>
    </w:p>
    <w:p w:rsidRPr="004772F7" w:rsidR="00A16DCE" w:rsidP="005074AE" w:rsidRDefault="00A16DCE" w14:paraId="03B05529" w14:textId="77777777">
      <w:pPr>
        <w:pStyle w:val="ListParagraph"/>
        <w:numPr>
          <w:ilvl w:val="0"/>
          <w:numId w:val="5"/>
        </w:numPr>
        <w:rPr>
          <w:sz w:val="32"/>
          <w:szCs w:val="32"/>
        </w:rPr>
      </w:pPr>
      <w:r w:rsidRPr="004772F7">
        <w:rPr>
          <w:sz w:val="32"/>
          <w:szCs w:val="32"/>
        </w:rPr>
        <w:t xml:space="preserve">Sustainable investment is required to ensure that all ICBs adopt a </w:t>
      </w:r>
      <w:r w:rsidRPr="004772F7">
        <w:rPr>
          <w:rFonts w:ascii="Open Sans" w:hAnsi="Open Sans" w:cs="Open Sans"/>
          <w:sz w:val="32"/>
          <w:szCs w:val="32"/>
        </w:rPr>
        <w:t>‘</w:t>
      </w:r>
      <w:r w:rsidRPr="004772F7">
        <w:rPr>
          <w:sz w:val="32"/>
          <w:szCs w:val="32"/>
        </w:rPr>
        <w:t>whole health model</w:t>
      </w:r>
      <w:r w:rsidRPr="004772F7">
        <w:rPr>
          <w:rFonts w:ascii="Open Sans" w:hAnsi="Open Sans" w:cs="Open Sans"/>
          <w:sz w:val="32"/>
          <w:szCs w:val="32"/>
        </w:rPr>
        <w:t>’</w:t>
      </w:r>
      <w:r w:rsidRPr="004772F7">
        <w:rPr>
          <w:sz w:val="32"/>
          <w:szCs w:val="32"/>
        </w:rPr>
        <w:t xml:space="preserve"> including evidence-based interventions such as IRIS in GP practices, </w:t>
      </w:r>
      <w:proofErr w:type="spellStart"/>
      <w:proofErr w:type="gramStart"/>
      <w:r w:rsidRPr="004772F7">
        <w:rPr>
          <w:sz w:val="32"/>
          <w:szCs w:val="32"/>
        </w:rPr>
        <w:t>ADViSE</w:t>
      </w:r>
      <w:proofErr w:type="spellEnd"/>
      <w:proofErr w:type="gramEnd"/>
      <w:r w:rsidRPr="004772F7">
        <w:rPr>
          <w:sz w:val="32"/>
          <w:szCs w:val="32"/>
        </w:rPr>
        <w:t xml:space="preserve"> in sexual health clinics and sexual health services, </w:t>
      </w:r>
      <w:r w:rsidRPr="004772F7">
        <w:rPr>
          <w:sz w:val="32"/>
          <w:szCs w:val="32"/>
        </w:rPr>
        <w:lastRenderedPageBreak/>
        <w:t>health IDVAs in acute and mental health settings and maternity services, and a specialist coordinator to ensure this work is embedded at a strategic level as well as operationally.</w:t>
      </w:r>
    </w:p>
    <w:p w:rsidRPr="004772F7" w:rsidR="00191F6E" w:rsidP="00191F6E" w:rsidRDefault="00A16DCE" w14:paraId="2B1248B3" w14:textId="5838A70E">
      <w:pPr>
        <w:pStyle w:val="ListParagraph"/>
        <w:numPr>
          <w:ilvl w:val="0"/>
          <w:numId w:val="5"/>
        </w:numPr>
        <w:rPr>
          <w:sz w:val="32"/>
          <w:szCs w:val="32"/>
        </w:rPr>
      </w:pPr>
      <w:r w:rsidRPr="004772F7">
        <w:rPr>
          <w:sz w:val="32"/>
          <w:szCs w:val="32"/>
        </w:rPr>
        <w:t>Specialist mental health support to meet the needs of child survivors of VAWG without the fear that this will be used as evidence against the mother in any child contact or child protection proceedings.</w:t>
      </w:r>
      <w:r w:rsidRPr="004772F7">
        <w:rPr>
          <w:rFonts w:ascii="Arial" w:hAnsi="Arial" w:cs="Arial"/>
          <w:sz w:val="32"/>
          <w:szCs w:val="32"/>
        </w:rPr>
        <w:t>  </w:t>
      </w:r>
    </w:p>
    <w:p w:rsidR="00191F6E" w:rsidP="00191F6E" w:rsidRDefault="00191F6E" w14:paraId="35FE799A" w14:textId="4851FAC9">
      <w:pPr>
        <w:pStyle w:val="Heading1"/>
      </w:pPr>
      <w:bookmarkStart w:name="_Toc145679977" w:id="8"/>
      <w:r w:rsidRPr="00191F6E">
        <w:t>Housing</w:t>
      </w:r>
      <w:bookmarkEnd w:id="8"/>
    </w:p>
    <w:p w:rsidR="0049320F" w:rsidP="0049320F" w:rsidRDefault="0049320F" w14:paraId="4BEE58AE" w14:textId="77777777">
      <w:pPr>
        <w:rPr>
          <w:rFonts w:ascii="Arial" w:hAnsi="Arial" w:cs="Arial"/>
        </w:rPr>
      </w:pPr>
    </w:p>
    <w:p w:rsidRPr="004772F7" w:rsidR="0049320F" w:rsidP="005074AE" w:rsidRDefault="0049320F" w14:paraId="2A8D5140" w14:textId="77777777">
      <w:pPr>
        <w:pStyle w:val="ListParagraph"/>
        <w:numPr>
          <w:ilvl w:val="0"/>
          <w:numId w:val="6"/>
        </w:numPr>
        <w:rPr>
          <w:sz w:val="32"/>
          <w:szCs w:val="32"/>
        </w:rPr>
      </w:pPr>
      <w:r w:rsidRPr="004772F7">
        <w:rPr>
          <w:sz w:val="32"/>
          <w:szCs w:val="32"/>
        </w:rPr>
        <w:t xml:space="preserve">Improve access to, and availability of, adequate social housing and safe accommodation. </w:t>
      </w:r>
    </w:p>
    <w:p w:rsidRPr="004772F7" w:rsidR="0049320F" w:rsidP="005074AE" w:rsidRDefault="0049320F" w14:paraId="59F52464" w14:textId="77777777">
      <w:pPr>
        <w:pStyle w:val="ListParagraph"/>
        <w:numPr>
          <w:ilvl w:val="0"/>
          <w:numId w:val="6"/>
        </w:numPr>
        <w:rPr>
          <w:sz w:val="32"/>
          <w:szCs w:val="32"/>
        </w:rPr>
      </w:pPr>
      <w:r w:rsidRPr="004772F7">
        <w:rPr>
          <w:sz w:val="32"/>
          <w:szCs w:val="32"/>
        </w:rPr>
        <w:t>Clearer local authority allocation schemes to transform our response housing needs of survivors.</w:t>
      </w:r>
    </w:p>
    <w:p w:rsidRPr="004772F7" w:rsidR="0049320F" w:rsidP="005074AE" w:rsidRDefault="0049320F" w14:paraId="7010FEB8" w14:textId="77777777">
      <w:pPr>
        <w:pStyle w:val="ListParagraph"/>
        <w:numPr>
          <w:ilvl w:val="0"/>
          <w:numId w:val="6"/>
        </w:numPr>
        <w:rPr>
          <w:sz w:val="32"/>
          <w:szCs w:val="32"/>
        </w:rPr>
      </w:pPr>
      <w:r w:rsidRPr="004772F7">
        <w:rPr>
          <w:sz w:val="32"/>
          <w:szCs w:val="32"/>
        </w:rPr>
        <w:t xml:space="preserve">Support local authorities to implement the automatic priority need for housing to survivors of domestic abuse including training, co-location of housing IDVAs and administrative burdens funding. </w:t>
      </w:r>
    </w:p>
    <w:p w:rsidRPr="004772F7" w:rsidR="0049320F" w:rsidP="005074AE" w:rsidRDefault="0049320F" w14:paraId="43CB5FBE" w14:textId="77777777">
      <w:pPr>
        <w:pStyle w:val="ListParagraph"/>
        <w:numPr>
          <w:ilvl w:val="0"/>
          <w:numId w:val="6"/>
        </w:numPr>
        <w:rPr>
          <w:sz w:val="32"/>
          <w:szCs w:val="32"/>
        </w:rPr>
      </w:pPr>
      <w:r w:rsidRPr="004772F7">
        <w:rPr>
          <w:sz w:val="32"/>
          <w:szCs w:val="32"/>
        </w:rPr>
        <w:lastRenderedPageBreak/>
        <w:t>Exempt survivors of domestic abuse from local connections or residency requirements for applicants of social housing.</w:t>
      </w:r>
    </w:p>
    <w:p w:rsidRPr="004772F7" w:rsidR="0049320F" w:rsidP="005074AE" w:rsidRDefault="0049320F" w14:paraId="12257D1F" w14:textId="74E9AE29">
      <w:pPr>
        <w:pStyle w:val="ListParagraph"/>
        <w:numPr>
          <w:ilvl w:val="0"/>
          <w:numId w:val="6"/>
        </w:numPr>
        <w:rPr>
          <w:sz w:val="32"/>
          <w:szCs w:val="32"/>
        </w:rPr>
      </w:pPr>
      <w:r w:rsidRPr="004772F7">
        <w:rPr>
          <w:sz w:val="32"/>
          <w:szCs w:val="32"/>
        </w:rPr>
        <w:t>A simplified legal mechanism for survivors of domestic abuse to apply directly to the county court to remove a perpetrator of domestic abuse from a secure or assured social tenancy.</w:t>
      </w:r>
    </w:p>
    <w:p w:rsidR="00EE5E6B" w:rsidP="00EE5E6B" w:rsidRDefault="00EE5E6B" w14:paraId="5457A0DA" w14:textId="77777777"/>
    <w:p w:rsidR="004772F7" w:rsidP="00EE5E6B" w:rsidRDefault="004772F7" w14:paraId="58FCD702" w14:textId="77777777"/>
    <w:p w:rsidR="00EE5E6B" w:rsidP="00EE5E6B" w:rsidRDefault="00EE5E6B" w14:paraId="3650B28F" w14:textId="34B3DEBC">
      <w:pPr>
        <w:pStyle w:val="Heading1"/>
      </w:pPr>
      <w:bookmarkStart w:name="_Toc145679978" w:id="9"/>
      <w:r w:rsidRPr="00EE5E6B">
        <w:t>Family Courts and Children’s Social Care</w:t>
      </w:r>
      <w:bookmarkEnd w:id="9"/>
    </w:p>
    <w:p w:rsidR="001927DA" w:rsidP="001927DA" w:rsidRDefault="001927DA" w14:paraId="070ECEF7" w14:textId="77777777"/>
    <w:p w:rsidRPr="004772F7" w:rsidR="001927DA" w:rsidP="005074AE" w:rsidRDefault="001927DA" w14:paraId="59AB7649" w14:textId="77777777">
      <w:pPr>
        <w:pStyle w:val="ListParagraph"/>
        <w:numPr>
          <w:ilvl w:val="0"/>
          <w:numId w:val="7"/>
        </w:numPr>
        <w:rPr>
          <w:sz w:val="32"/>
          <w:szCs w:val="32"/>
        </w:rPr>
      </w:pPr>
      <w:r w:rsidRPr="004772F7">
        <w:rPr>
          <w:sz w:val="32"/>
          <w:szCs w:val="32"/>
        </w:rPr>
        <w:t>Full implementation of the Harm Report recommendations.</w:t>
      </w:r>
    </w:p>
    <w:p w:rsidRPr="004772F7" w:rsidR="001927DA" w:rsidP="005074AE" w:rsidRDefault="001927DA" w14:paraId="0E01A236" w14:textId="77777777">
      <w:pPr>
        <w:pStyle w:val="ListParagraph"/>
        <w:numPr>
          <w:ilvl w:val="0"/>
          <w:numId w:val="7"/>
        </w:numPr>
        <w:rPr>
          <w:sz w:val="32"/>
          <w:szCs w:val="32"/>
        </w:rPr>
      </w:pPr>
      <w:r w:rsidRPr="004772F7">
        <w:rPr>
          <w:sz w:val="32"/>
          <w:szCs w:val="32"/>
        </w:rPr>
        <w:t>Introduce legislation that psychologists appointed to assess adults or children in the Family Court must be regulated by the Health and Care Professions Council.</w:t>
      </w:r>
    </w:p>
    <w:p w:rsidRPr="004772F7" w:rsidR="001927DA" w:rsidP="005074AE" w:rsidRDefault="001927DA" w14:paraId="6F4D1B77" w14:textId="77777777">
      <w:pPr>
        <w:pStyle w:val="ListParagraph"/>
        <w:numPr>
          <w:ilvl w:val="0"/>
          <w:numId w:val="7"/>
        </w:numPr>
        <w:rPr>
          <w:sz w:val="32"/>
          <w:szCs w:val="32"/>
        </w:rPr>
      </w:pPr>
      <w:r w:rsidRPr="004772F7">
        <w:rPr>
          <w:sz w:val="32"/>
          <w:szCs w:val="32"/>
        </w:rPr>
        <w:t xml:space="preserve">The government should urgently amend Section 1(2A) of the Children Act 1989 to make clear that the presumption of parental involvement does not apply in </w:t>
      </w:r>
      <w:r w:rsidRPr="004772F7">
        <w:rPr>
          <w:sz w:val="32"/>
          <w:szCs w:val="32"/>
        </w:rPr>
        <w:lastRenderedPageBreak/>
        <w:t>cases involving allegations of domestic abuse or other forms of serious harm.</w:t>
      </w:r>
    </w:p>
    <w:p w:rsidRPr="004772F7" w:rsidR="001927DA" w:rsidP="005074AE" w:rsidRDefault="001927DA" w14:paraId="35B00981" w14:textId="1CDB6C43">
      <w:pPr>
        <w:pStyle w:val="ListParagraph"/>
        <w:numPr>
          <w:ilvl w:val="0"/>
          <w:numId w:val="7"/>
        </w:numPr>
        <w:rPr>
          <w:sz w:val="32"/>
          <w:szCs w:val="32"/>
        </w:rPr>
      </w:pPr>
      <w:r w:rsidRPr="004772F7">
        <w:rPr>
          <w:sz w:val="32"/>
          <w:szCs w:val="32"/>
        </w:rPr>
        <w:t xml:space="preserve">The Judicial College should work collaboratively with specialist VAWG organisations to improve judicial understanding and awareness around VAWG, </w:t>
      </w:r>
      <w:r w:rsidRPr="004772F7" w:rsidR="006F5960">
        <w:rPr>
          <w:sz w:val="32"/>
          <w:szCs w:val="32"/>
        </w:rPr>
        <w:t>particularly</w:t>
      </w:r>
      <w:r w:rsidRPr="004772F7">
        <w:rPr>
          <w:sz w:val="32"/>
          <w:szCs w:val="32"/>
        </w:rPr>
        <w:t xml:space="preserve"> on less recognised forms such as economic abuse as recognised in the statutory definition of domestic abuse in the Domestic Abuse Act 2021. All agencies with responsibility for training family court professionals should work together on the multi-disciplinary training recommended by the Harm Panel.</w:t>
      </w:r>
    </w:p>
    <w:p w:rsidRPr="004772F7" w:rsidR="001927DA" w:rsidP="005074AE" w:rsidRDefault="001927DA" w14:paraId="3EE35602" w14:textId="77777777">
      <w:pPr>
        <w:pStyle w:val="ListParagraph"/>
        <w:numPr>
          <w:ilvl w:val="0"/>
          <w:numId w:val="7"/>
        </w:numPr>
        <w:rPr>
          <w:sz w:val="32"/>
          <w:szCs w:val="32"/>
        </w:rPr>
      </w:pPr>
      <w:r w:rsidRPr="004772F7">
        <w:rPr>
          <w:sz w:val="32"/>
          <w:szCs w:val="32"/>
        </w:rPr>
        <w:t xml:space="preserve">Family court professionals should draw on the expertise of </w:t>
      </w:r>
      <w:r w:rsidRPr="004772F7">
        <w:rPr>
          <w:rFonts w:ascii="Open Sans" w:hAnsi="Open Sans" w:cs="Open Sans"/>
          <w:sz w:val="32"/>
          <w:szCs w:val="32"/>
        </w:rPr>
        <w:t>‘</w:t>
      </w:r>
      <w:r w:rsidRPr="004772F7">
        <w:rPr>
          <w:sz w:val="32"/>
          <w:szCs w:val="32"/>
        </w:rPr>
        <w:t>by and for</w:t>
      </w:r>
      <w:r w:rsidRPr="004772F7">
        <w:rPr>
          <w:rFonts w:ascii="Open Sans" w:hAnsi="Open Sans" w:cs="Open Sans"/>
          <w:sz w:val="32"/>
          <w:szCs w:val="32"/>
        </w:rPr>
        <w:t>’</w:t>
      </w:r>
      <w:r w:rsidRPr="004772F7">
        <w:rPr>
          <w:sz w:val="32"/>
          <w:szCs w:val="32"/>
        </w:rPr>
        <w:t xml:space="preserve"> specialist domestic abuse support services </w:t>
      </w:r>
      <w:proofErr w:type="gramStart"/>
      <w:r w:rsidRPr="004772F7">
        <w:rPr>
          <w:sz w:val="32"/>
          <w:szCs w:val="32"/>
        </w:rPr>
        <w:t>in order to</w:t>
      </w:r>
      <w:proofErr w:type="gramEnd"/>
      <w:r w:rsidRPr="004772F7">
        <w:rPr>
          <w:sz w:val="32"/>
          <w:szCs w:val="32"/>
        </w:rPr>
        <w:t xml:space="preserve"> gain a better understanding of the specific experiences and needs of survivors and children from marginalised and </w:t>
      </w:r>
      <w:proofErr w:type="spellStart"/>
      <w:r w:rsidRPr="004772F7">
        <w:rPr>
          <w:sz w:val="32"/>
          <w:szCs w:val="32"/>
        </w:rPr>
        <w:t>minoritised</w:t>
      </w:r>
      <w:proofErr w:type="spellEnd"/>
      <w:r w:rsidRPr="004772F7">
        <w:rPr>
          <w:sz w:val="32"/>
          <w:szCs w:val="32"/>
        </w:rPr>
        <w:t xml:space="preserve"> groups, and the government must provide ring-fenced funding for these services.</w:t>
      </w:r>
    </w:p>
    <w:p w:rsidRPr="004772F7" w:rsidR="001927DA" w:rsidP="005074AE" w:rsidRDefault="001927DA" w14:paraId="05B14638" w14:textId="0D3B9BB4">
      <w:pPr>
        <w:pStyle w:val="ListParagraph"/>
        <w:numPr>
          <w:ilvl w:val="0"/>
          <w:numId w:val="7"/>
        </w:numPr>
        <w:rPr>
          <w:sz w:val="32"/>
          <w:szCs w:val="32"/>
        </w:rPr>
      </w:pPr>
      <w:r w:rsidRPr="004772F7">
        <w:rPr>
          <w:sz w:val="32"/>
          <w:szCs w:val="32"/>
        </w:rPr>
        <w:t xml:space="preserve">Ensure that local authorities are adhering to statutory guidance on the Children Act 1989, including the </w:t>
      </w:r>
      <w:proofErr w:type="gramStart"/>
      <w:r w:rsidRPr="004772F7">
        <w:rPr>
          <w:sz w:val="32"/>
          <w:szCs w:val="32"/>
        </w:rPr>
        <w:t>particular</w:t>
      </w:r>
      <w:r w:rsidRPr="004772F7" w:rsidR="006F5960">
        <w:rPr>
          <w:sz w:val="32"/>
          <w:szCs w:val="32"/>
        </w:rPr>
        <w:t xml:space="preserve"> </w:t>
      </w:r>
      <w:r w:rsidRPr="004772F7">
        <w:rPr>
          <w:sz w:val="32"/>
          <w:szCs w:val="32"/>
        </w:rPr>
        <w:t>considerations</w:t>
      </w:r>
      <w:proofErr w:type="gramEnd"/>
      <w:r w:rsidRPr="004772F7">
        <w:rPr>
          <w:sz w:val="32"/>
          <w:szCs w:val="32"/>
        </w:rPr>
        <w:t xml:space="preserve"> for No Recourse to Public </w:t>
      </w:r>
      <w:r w:rsidRPr="004772F7">
        <w:rPr>
          <w:sz w:val="32"/>
          <w:szCs w:val="32"/>
        </w:rPr>
        <w:lastRenderedPageBreak/>
        <w:t>Funds children and families as part of their broader Section 17 duties.</w:t>
      </w:r>
    </w:p>
    <w:p w:rsidR="00E72169" w:rsidP="00360381" w:rsidRDefault="001927DA" w14:paraId="563B977E" w14:textId="09D6CC3D">
      <w:pPr>
        <w:pStyle w:val="ListParagraph"/>
        <w:numPr>
          <w:ilvl w:val="0"/>
          <w:numId w:val="7"/>
        </w:numPr>
        <w:rPr>
          <w:sz w:val="32"/>
          <w:szCs w:val="32"/>
        </w:rPr>
      </w:pPr>
      <w:r w:rsidRPr="004772F7">
        <w:rPr>
          <w:sz w:val="32"/>
          <w:szCs w:val="32"/>
        </w:rPr>
        <w:t xml:space="preserve">Children's social care must seek proactive models of support and advice when supporting parents and children affected by VAWG; embedding best practice models that are holistic and </w:t>
      </w:r>
      <w:proofErr w:type="gramStart"/>
      <w:r w:rsidRPr="004772F7">
        <w:rPr>
          <w:sz w:val="32"/>
          <w:szCs w:val="32"/>
        </w:rPr>
        <w:t>trauma-informed</w:t>
      </w:r>
      <w:proofErr w:type="gramEnd"/>
      <w:r w:rsidRPr="004772F7">
        <w:rPr>
          <w:sz w:val="32"/>
          <w:szCs w:val="32"/>
        </w:rPr>
        <w:t>.</w:t>
      </w:r>
    </w:p>
    <w:p w:rsidRPr="004772F7" w:rsidR="004772F7" w:rsidP="00360381" w:rsidRDefault="004772F7" w14:paraId="30DC15ED" w14:textId="77777777">
      <w:pPr>
        <w:pStyle w:val="ListParagraph"/>
        <w:numPr>
          <w:ilvl w:val="0"/>
          <w:numId w:val="7"/>
        </w:numPr>
        <w:rPr>
          <w:sz w:val="32"/>
          <w:szCs w:val="32"/>
        </w:rPr>
      </w:pPr>
    </w:p>
    <w:p w:rsidR="00360381" w:rsidP="00360381" w:rsidRDefault="00360381" w14:paraId="262E9817" w14:textId="76633029">
      <w:pPr>
        <w:pStyle w:val="Heading1"/>
      </w:pPr>
      <w:bookmarkStart w:name="_Toc145679979" w:id="10"/>
      <w:r w:rsidRPr="00360381">
        <w:t>Criminal Justice Reform</w:t>
      </w:r>
      <w:bookmarkEnd w:id="10"/>
    </w:p>
    <w:p w:rsidRPr="004772F7" w:rsidR="00360381" w:rsidP="00360381" w:rsidRDefault="00360381" w14:paraId="549E8C86" w14:textId="77777777">
      <w:pPr>
        <w:rPr>
          <w:sz w:val="32"/>
          <w:szCs w:val="32"/>
        </w:rPr>
      </w:pPr>
    </w:p>
    <w:p w:rsidRPr="004772F7" w:rsidR="00AA4F1E" w:rsidP="005074AE" w:rsidRDefault="00AA4F1E" w14:paraId="7987D1FA" w14:textId="69A1A2E3">
      <w:pPr>
        <w:pStyle w:val="ListParagraph"/>
        <w:numPr>
          <w:ilvl w:val="0"/>
          <w:numId w:val="8"/>
        </w:numPr>
        <w:rPr>
          <w:sz w:val="32"/>
          <w:szCs w:val="32"/>
        </w:rPr>
      </w:pPr>
      <w:r w:rsidRPr="004772F7">
        <w:rPr>
          <w:sz w:val="32"/>
          <w:szCs w:val="32"/>
        </w:rPr>
        <w:t>Establish a national scheme of independent legal advice for survivors of rape and sexual abuse engaged with the criminal justice proces</w:t>
      </w:r>
      <w:r w:rsidRPr="004772F7">
        <w:rPr>
          <w:sz w:val="32"/>
          <w:szCs w:val="32"/>
        </w:rPr>
        <w:t>s.</w:t>
      </w:r>
      <w:r w:rsidRPr="004772F7" w:rsidR="005B0BAF">
        <w:rPr>
          <w:rStyle w:val="FootnoteReference"/>
          <w:sz w:val="32"/>
          <w:szCs w:val="32"/>
        </w:rPr>
        <w:footnoteReference w:id="9"/>
      </w:r>
    </w:p>
    <w:p w:rsidRPr="004772F7" w:rsidR="00AA4F1E" w:rsidP="005074AE" w:rsidRDefault="00AA4F1E" w14:paraId="202BD872" w14:textId="4A4315A0">
      <w:pPr>
        <w:pStyle w:val="ListParagraph"/>
        <w:numPr>
          <w:ilvl w:val="0"/>
          <w:numId w:val="8"/>
        </w:numPr>
        <w:rPr>
          <w:sz w:val="32"/>
          <w:szCs w:val="32"/>
        </w:rPr>
      </w:pPr>
      <w:r w:rsidRPr="004772F7">
        <w:rPr>
          <w:sz w:val="32"/>
          <w:szCs w:val="32"/>
        </w:rPr>
        <w:t>Introduce better protection for survivors</w:t>
      </w:r>
      <w:r w:rsidRPr="004772F7">
        <w:rPr>
          <w:rFonts w:ascii="Open Sans" w:hAnsi="Open Sans" w:cs="Open Sans"/>
          <w:sz w:val="32"/>
          <w:szCs w:val="32"/>
        </w:rPr>
        <w:t>’</w:t>
      </w:r>
      <w:r w:rsidRPr="004772F7">
        <w:rPr>
          <w:sz w:val="32"/>
          <w:szCs w:val="32"/>
        </w:rPr>
        <w:t xml:space="preserve"> counselling and therapy records with a higher legal threshold for disclosure and decision-making by a judge.</w:t>
      </w:r>
      <w:r w:rsidRPr="004772F7" w:rsidR="002F2C9B">
        <w:rPr>
          <w:rStyle w:val="FootnoteReference"/>
          <w:sz w:val="32"/>
          <w:szCs w:val="32"/>
        </w:rPr>
        <w:footnoteReference w:id="10"/>
      </w:r>
    </w:p>
    <w:p w:rsidRPr="004772F7" w:rsidR="00AA4F1E" w:rsidP="005074AE" w:rsidRDefault="00AA4F1E" w14:paraId="40895A23" w14:textId="77777777">
      <w:pPr>
        <w:pStyle w:val="ListParagraph"/>
        <w:numPr>
          <w:ilvl w:val="0"/>
          <w:numId w:val="8"/>
        </w:numPr>
        <w:rPr>
          <w:sz w:val="32"/>
          <w:szCs w:val="32"/>
        </w:rPr>
      </w:pPr>
      <w:r w:rsidRPr="004772F7">
        <w:rPr>
          <w:sz w:val="32"/>
          <w:szCs w:val="32"/>
        </w:rPr>
        <w:lastRenderedPageBreak/>
        <w:t>Ensure fast-track priority listing and guaranteed fixture of rape and sexual offences trials.</w:t>
      </w:r>
    </w:p>
    <w:p w:rsidRPr="004772F7" w:rsidR="00AA4F1E" w:rsidP="005074AE" w:rsidRDefault="00AA4F1E" w14:paraId="71FF1A18" w14:textId="39A8D84C">
      <w:pPr>
        <w:pStyle w:val="ListParagraph"/>
        <w:numPr>
          <w:ilvl w:val="0"/>
          <w:numId w:val="8"/>
        </w:numPr>
        <w:rPr>
          <w:sz w:val="32"/>
          <w:szCs w:val="32"/>
        </w:rPr>
      </w:pPr>
      <w:r w:rsidRPr="004772F7">
        <w:rPr>
          <w:sz w:val="32"/>
          <w:szCs w:val="32"/>
        </w:rPr>
        <w:t>Ensure availability of specialist sexual offence courts where all staff receive trauma-informed training and special measures as default.</w:t>
      </w:r>
      <w:r w:rsidRPr="004772F7" w:rsidR="008A6D6C">
        <w:rPr>
          <w:rStyle w:val="FootnoteReference"/>
          <w:sz w:val="32"/>
          <w:szCs w:val="32"/>
        </w:rPr>
        <w:footnoteReference w:id="11"/>
      </w:r>
      <w:r w:rsidRPr="004772F7" w:rsidR="005B107A">
        <w:rPr>
          <w:rStyle w:val="FootnoteReference"/>
          <w:sz w:val="32"/>
          <w:szCs w:val="32"/>
        </w:rPr>
        <w:footnoteReference w:id="12"/>
      </w:r>
    </w:p>
    <w:p w:rsidRPr="004772F7" w:rsidR="00AA4F1E" w:rsidP="005074AE" w:rsidRDefault="00AA4F1E" w14:paraId="6113603D" w14:textId="2AB1345E">
      <w:pPr>
        <w:pStyle w:val="ListParagraph"/>
        <w:numPr>
          <w:ilvl w:val="0"/>
          <w:numId w:val="8"/>
        </w:numPr>
        <w:rPr>
          <w:sz w:val="32"/>
          <w:szCs w:val="32"/>
        </w:rPr>
      </w:pPr>
      <w:r w:rsidRPr="004772F7">
        <w:rPr>
          <w:sz w:val="32"/>
          <w:szCs w:val="32"/>
        </w:rPr>
        <w:t>Introduce Banaz</w:t>
      </w:r>
      <w:r w:rsidRPr="004772F7">
        <w:rPr>
          <w:rFonts w:ascii="Open Sans" w:hAnsi="Open Sans" w:cs="Open Sans"/>
          <w:sz w:val="32"/>
          <w:szCs w:val="32"/>
        </w:rPr>
        <w:t>’</w:t>
      </w:r>
      <w:r w:rsidRPr="004772F7">
        <w:rPr>
          <w:sz w:val="32"/>
          <w:szCs w:val="32"/>
        </w:rPr>
        <w:t xml:space="preserve">s Law to make the use of </w:t>
      </w:r>
      <w:r w:rsidRPr="004772F7">
        <w:rPr>
          <w:rFonts w:ascii="Open Sans" w:hAnsi="Open Sans" w:cs="Open Sans"/>
          <w:sz w:val="32"/>
          <w:szCs w:val="32"/>
        </w:rPr>
        <w:t>‘</w:t>
      </w:r>
      <w:r w:rsidRPr="004772F7">
        <w:rPr>
          <w:sz w:val="32"/>
          <w:szCs w:val="32"/>
        </w:rPr>
        <w:t>honour</w:t>
      </w:r>
      <w:r w:rsidRPr="004772F7">
        <w:rPr>
          <w:rFonts w:ascii="Open Sans" w:hAnsi="Open Sans" w:cs="Open Sans"/>
          <w:sz w:val="32"/>
          <w:szCs w:val="32"/>
        </w:rPr>
        <w:t>’</w:t>
      </w:r>
      <w:r w:rsidRPr="004772F7">
        <w:rPr>
          <w:sz w:val="32"/>
          <w:szCs w:val="32"/>
        </w:rPr>
        <w:t xml:space="preserve"> an aggravating factor in sentencing on honour-based abuse and VAWG.</w:t>
      </w:r>
      <w:r w:rsidRPr="004772F7" w:rsidR="00AF30D5">
        <w:rPr>
          <w:rStyle w:val="FootnoteReference"/>
          <w:sz w:val="32"/>
          <w:szCs w:val="32"/>
        </w:rPr>
        <w:footnoteReference w:id="13"/>
      </w:r>
    </w:p>
    <w:p w:rsidRPr="004772F7" w:rsidR="00360381" w:rsidP="005074AE" w:rsidRDefault="00AA4F1E" w14:paraId="4BDE5B01" w14:textId="27EA42DA">
      <w:pPr>
        <w:pStyle w:val="ListParagraph"/>
        <w:numPr>
          <w:ilvl w:val="0"/>
          <w:numId w:val="8"/>
        </w:numPr>
        <w:rPr>
          <w:sz w:val="32"/>
          <w:szCs w:val="32"/>
        </w:rPr>
      </w:pPr>
      <w:r w:rsidRPr="004772F7">
        <w:rPr>
          <w:sz w:val="32"/>
          <w:szCs w:val="32"/>
        </w:rPr>
        <w:t xml:space="preserve">Introduce </w:t>
      </w:r>
      <w:proofErr w:type="gramStart"/>
      <w:r w:rsidRPr="004772F7">
        <w:rPr>
          <w:sz w:val="32"/>
          <w:szCs w:val="32"/>
        </w:rPr>
        <w:t>a more robust police</w:t>
      </w:r>
      <w:proofErr w:type="gramEnd"/>
      <w:r w:rsidRPr="004772F7">
        <w:rPr>
          <w:sz w:val="32"/>
          <w:szCs w:val="32"/>
        </w:rPr>
        <w:t xml:space="preserve"> vetting and suspension pending investigation for all officers charged with VAWG related misconduct.</w:t>
      </w:r>
    </w:p>
    <w:p w:rsidR="005B2FDF" w:rsidP="005B2FDF" w:rsidRDefault="005B2FDF" w14:paraId="7BC1AA7C" w14:textId="77777777"/>
    <w:p w:rsidR="004772F7" w:rsidP="005B2FDF" w:rsidRDefault="004772F7" w14:paraId="54EBCE82" w14:textId="77777777">
      <w:pPr>
        <w:pStyle w:val="Heading1"/>
      </w:pPr>
      <w:bookmarkStart w:name="_Toc145679980" w:id="11"/>
    </w:p>
    <w:p w:rsidRPr="004772F7" w:rsidR="004772F7" w:rsidP="004772F7" w:rsidRDefault="004772F7" w14:paraId="57590850" w14:textId="77777777"/>
    <w:p w:rsidR="005B2FDF" w:rsidP="005B2FDF" w:rsidRDefault="005B2FDF" w14:paraId="3F9ED129" w14:textId="755E3002">
      <w:pPr>
        <w:pStyle w:val="Heading1"/>
      </w:pPr>
      <w:r>
        <w:t>Perpetrators</w:t>
      </w:r>
      <w:bookmarkEnd w:id="11"/>
    </w:p>
    <w:p w:rsidRPr="005B2FDF" w:rsidR="005B2FDF" w:rsidP="005B2FDF" w:rsidRDefault="005B2FDF" w14:paraId="6E4D1065" w14:textId="77777777"/>
    <w:p w:rsidRPr="004772F7" w:rsidR="005B2FDF" w:rsidP="005074AE" w:rsidRDefault="005B2FDF" w14:paraId="3711457C" w14:textId="77777777">
      <w:pPr>
        <w:pStyle w:val="ListParagraph"/>
        <w:numPr>
          <w:ilvl w:val="0"/>
          <w:numId w:val="9"/>
        </w:numPr>
        <w:rPr>
          <w:sz w:val="32"/>
          <w:szCs w:val="32"/>
        </w:rPr>
      </w:pPr>
      <w:r w:rsidRPr="004772F7">
        <w:rPr>
          <w:sz w:val="32"/>
          <w:szCs w:val="32"/>
        </w:rPr>
        <w:t xml:space="preserve">Ensure that quality assured perpetrator interventions are consistently available </w:t>
      </w:r>
      <w:r w:rsidRPr="004772F7">
        <w:rPr>
          <w:rFonts w:ascii="Open Sans" w:hAnsi="Open Sans" w:cs="Open Sans"/>
          <w:sz w:val="32"/>
          <w:szCs w:val="32"/>
        </w:rPr>
        <w:t>–</w:t>
      </w:r>
      <w:r w:rsidRPr="004772F7">
        <w:rPr>
          <w:sz w:val="32"/>
          <w:szCs w:val="32"/>
        </w:rPr>
        <w:t xml:space="preserve"> addressing risks from primary prevention (like bystander responses and awareness raising communication campaigns) to behaviour change group work, to specialist responses for the most dangerous and serial perpetrators.</w:t>
      </w:r>
    </w:p>
    <w:p w:rsidRPr="004772F7" w:rsidR="005B2FDF" w:rsidP="005074AE" w:rsidRDefault="005B2FDF" w14:paraId="0B7DE863" w14:textId="77777777">
      <w:pPr>
        <w:pStyle w:val="ListParagraph"/>
        <w:numPr>
          <w:ilvl w:val="0"/>
          <w:numId w:val="9"/>
        </w:numPr>
        <w:rPr>
          <w:sz w:val="32"/>
          <w:szCs w:val="32"/>
        </w:rPr>
      </w:pPr>
      <w:r w:rsidRPr="004772F7">
        <w:rPr>
          <w:sz w:val="32"/>
          <w:szCs w:val="32"/>
        </w:rPr>
        <w:t xml:space="preserve">Review the effectiveness of sexual harm prevention orders given that criminal justice neither sanctions nor deters the vast majority of </w:t>
      </w:r>
      <w:proofErr w:type="gramStart"/>
      <w:r w:rsidRPr="004772F7">
        <w:rPr>
          <w:sz w:val="32"/>
          <w:szCs w:val="32"/>
        </w:rPr>
        <w:t>offenders;</w:t>
      </w:r>
      <w:proofErr w:type="gramEnd"/>
    </w:p>
    <w:p w:rsidRPr="004772F7" w:rsidR="005B2FDF" w:rsidP="005074AE" w:rsidRDefault="005B2FDF" w14:paraId="6FD2F60F" w14:textId="77777777">
      <w:pPr>
        <w:pStyle w:val="ListParagraph"/>
        <w:numPr>
          <w:ilvl w:val="0"/>
          <w:numId w:val="9"/>
        </w:numPr>
        <w:rPr>
          <w:sz w:val="32"/>
          <w:szCs w:val="32"/>
        </w:rPr>
      </w:pPr>
      <w:r w:rsidRPr="004772F7">
        <w:rPr>
          <w:sz w:val="32"/>
          <w:szCs w:val="32"/>
        </w:rPr>
        <w:t xml:space="preserve">Connect sexual violence and domestic abuse offences to any new online </w:t>
      </w:r>
      <w:proofErr w:type="gramStart"/>
      <w:r w:rsidRPr="004772F7">
        <w:rPr>
          <w:sz w:val="32"/>
          <w:szCs w:val="32"/>
        </w:rPr>
        <w:t>harms</w:t>
      </w:r>
      <w:proofErr w:type="gramEnd"/>
      <w:r w:rsidRPr="004772F7">
        <w:rPr>
          <w:sz w:val="32"/>
          <w:szCs w:val="32"/>
        </w:rPr>
        <w:t xml:space="preserve"> strategy where a large amount of connected </w:t>
      </w:r>
      <w:r w:rsidRPr="004772F7">
        <w:rPr>
          <w:rFonts w:ascii="Open Sans" w:hAnsi="Open Sans" w:cs="Open Sans"/>
          <w:sz w:val="32"/>
          <w:szCs w:val="32"/>
        </w:rPr>
        <w:t>‘</w:t>
      </w:r>
      <w:r w:rsidRPr="004772F7">
        <w:rPr>
          <w:sz w:val="32"/>
          <w:szCs w:val="32"/>
        </w:rPr>
        <w:t>online offending</w:t>
      </w:r>
      <w:r w:rsidRPr="004772F7">
        <w:rPr>
          <w:rFonts w:ascii="Open Sans" w:hAnsi="Open Sans" w:cs="Open Sans"/>
          <w:sz w:val="32"/>
          <w:szCs w:val="32"/>
        </w:rPr>
        <w:t>’</w:t>
      </w:r>
      <w:r w:rsidRPr="004772F7">
        <w:rPr>
          <w:sz w:val="32"/>
          <w:szCs w:val="32"/>
        </w:rPr>
        <w:t xml:space="preserve"> take place and where new forms of abuse are rapidly emerging and expanding;</w:t>
      </w:r>
    </w:p>
    <w:p w:rsidRPr="004772F7" w:rsidR="005B2FDF" w:rsidP="005074AE" w:rsidRDefault="005B2FDF" w14:paraId="24A214B1" w14:textId="77777777">
      <w:pPr>
        <w:pStyle w:val="ListParagraph"/>
        <w:numPr>
          <w:ilvl w:val="0"/>
          <w:numId w:val="9"/>
        </w:numPr>
        <w:rPr>
          <w:sz w:val="32"/>
          <w:szCs w:val="32"/>
        </w:rPr>
      </w:pPr>
      <w:r w:rsidRPr="004772F7">
        <w:rPr>
          <w:sz w:val="32"/>
          <w:szCs w:val="32"/>
        </w:rPr>
        <w:lastRenderedPageBreak/>
        <w:t>Establish a quality assurance system for perpetrator work which ensures that interventions funded by public sector agencies are always accredited, designed to keep survivors and their children safe, and delivered alongside support provided by specialist VAWG organisations.</w:t>
      </w:r>
    </w:p>
    <w:p w:rsidRPr="004772F7" w:rsidR="005B2FDF" w:rsidP="005074AE" w:rsidRDefault="005B2FDF" w14:paraId="3A32EE19" w14:textId="509FFC62">
      <w:pPr>
        <w:pStyle w:val="ListParagraph"/>
        <w:numPr>
          <w:ilvl w:val="0"/>
          <w:numId w:val="9"/>
        </w:numPr>
        <w:rPr>
          <w:sz w:val="32"/>
          <w:szCs w:val="32"/>
        </w:rPr>
      </w:pPr>
      <w:r w:rsidRPr="004772F7">
        <w:rPr>
          <w:sz w:val="32"/>
          <w:szCs w:val="32"/>
        </w:rPr>
        <w:t>Deliver effective leadership and multi-agency arrangements ensuring all government departments and public services are actively holding perpetrators accountable, that professionals are trained to identify and respond to perpetrators, and there are clear pathways into safe and effective perpetrator interventions.</w:t>
      </w:r>
    </w:p>
    <w:p w:rsidR="003F3045" w:rsidP="003F3045" w:rsidRDefault="003F3045" w14:paraId="2E8CED15" w14:textId="72793AA1">
      <w:pPr>
        <w:tabs>
          <w:tab w:val="left" w:pos="1173"/>
        </w:tabs>
      </w:pPr>
      <w:r>
        <w:tab/>
      </w:r>
    </w:p>
    <w:p w:rsidR="003F3045" w:rsidP="003F3045" w:rsidRDefault="003F3045" w14:paraId="1D03747D" w14:textId="77777777">
      <w:pPr>
        <w:tabs>
          <w:tab w:val="left" w:pos="1173"/>
        </w:tabs>
      </w:pPr>
    </w:p>
    <w:p w:rsidR="003F3045" w:rsidP="003F3045" w:rsidRDefault="003F3045" w14:paraId="354D61F0" w14:textId="77777777">
      <w:pPr>
        <w:pStyle w:val="Heading1"/>
      </w:pPr>
      <w:bookmarkStart w:name="_Toc145679981" w:id="12"/>
      <w:r>
        <w:t>Acknowledgements</w:t>
      </w:r>
      <w:bookmarkEnd w:id="12"/>
    </w:p>
    <w:p w:rsidRPr="003F3045" w:rsidR="003F3045" w:rsidP="003F3045" w:rsidRDefault="003F3045" w14:paraId="04A96AF7" w14:textId="77777777"/>
    <w:p w:rsidRPr="004772F7" w:rsidR="003F3045" w:rsidP="003F3045" w:rsidRDefault="003F3045" w14:paraId="74B315F7" w14:textId="77777777">
      <w:pPr>
        <w:rPr>
          <w:sz w:val="32"/>
          <w:szCs w:val="32"/>
        </w:rPr>
      </w:pPr>
      <w:r w:rsidRPr="004772F7">
        <w:rPr>
          <w:sz w:val="32"/>
          <w:szCs w:val="32"/>
        </w:rPr>
        <w:t xml:space="preserve">Ahead of the next general election, a coalition of over 70 leading organisations working to end violence against women and girls (VAWG) have signed this joint manifesto </w:t>
      </w:r>
      <w:r w:rsidRPr="004772F7">
        <w:rPr>
          <w:sz w:val="32"/>
          <w:szCs w:val="32"/>
        </w:rPr>
        <w:lastRenderedPageBreak/>
        <w:t>calling on all political parties to adopt its priorities for ending this abuse.</w:t>
      </w:r>
    </w:p>
    <w:p w:rsidRPr="004772F7" w:rsidR="003F3045" w:rsidP="003F3045" w:rsidRDefault="003F3045" w14:paraId="155EA682" w14:textId="77777777">
      <w:pPr>
        <w:rPr>
          <w:sz w:val="32"/>
          <w:szCs w:val="32"/>
        </w:rPr>
      </w:pPr>
      <w:r w:rsidRPr="004772F7">
        <w:rPr>
          <w:sz w:val="32"/>
          <w:szCs w:val="32"/>
        </w:rPr>
        <w:t>End Violence Against Women Coalition (EVAW)</w:t>
      </w:r>
    </w:p>
    <w:p w:rsidRPr="004772F7" w:rsidR="003F3045" w:rsidP="003F3045" w:rsidRDefault="003F3045" w14:paraId="6B2693C7" w14:textId="77777777">
      <w:pPr>
        <w:rPr>
          <w:sz w:val="32"/>
          <w:szCs w:val="32"/>
        </w:rPr>
      </w:pPr>
      <w:r w:rsidRPr="004772F7">
        <w:rPr>
          <w:sz w:val="32"/>
          <w:szCs w:val="32"/>
        </w:rPr>
        <w:t>Women's Aid Federation of England (WA)</w:t>
      </w:r>
    </w:p>
    <w:p w:rsidRPr="004772F7" w:rsidR="003F3045" w:rsidP="003F3045" w:rsidRDefault="003F3045" w14:paraId="42002F3B" w14:textId="77777777">
      <w:pPr>
        <w:rPr>
          <w:sz w:val="32"/>
          <w:szCs w:val="32"/>
        </w:rPr>
      </w:pPr>
      <w:r w:rsidRPr="004772F7">
        <w:rPr>
          <w:sz w:val="32"/>
          <w:szCs w:val="32"/>
        </w:rPr>
        <w:t xml:space="preserve">Advance </w:t>
      </w:r>
    </w:p>
    <w:p w:rsidRPr="004772F7" w:rsidR="003F3045" w:rsidP="003F3045" w:rsidRDefault="003F3045" w14:paraId="1C20C0AE" w14:textId="77777777">
      <w:pPr>
        <w:rPr>
          <w:sz w:val="32"/>
          <w:szCs w:val="32"/>
        </w:rPr>
      </w:pPr>
      <w:r w:rsidRPr="004772F7">
        <w:rPr>
          <w:sz w:val="32"/>
          <w:szCs w:val="32"/>
        </w:rPr>
        <w:t xml:space="preserve">Agenda Alliance </w:t>
      </w:r>
    </w:p>
    <w:p w:rsidRPr="004772F7" w:rsidR="003F3045" w:rsidP="003F3045" w:rsidRDefault="003F3045" w14:paraId="2F8C894F" w14:textId="77777777">
      <w:pPr>
        <w:rPr>
          <w:sz w:val="32"/>
          <w:szCs w:val="32"/>
        </w:rPr>
      </w:pPr>
      <w:r w:rsidRPr="004772F7">
        <w:rPr>
          <w:sz w:val="32"/>
          <w:szCs w:val="32"/>
        </w:rPr>
        <w:t xml:space="preserve">Al </w:t>
      </w:r>
      <w:proofErr w:type="spellStart"/>
      <w:r w:rsidRPr="004772F7">
        <w:rPr>
          <w:sz w:val="32"/>
          <w:szCs w:val="32"/>
        </w:rPr>
        <w:t>Hasaniya</w:t>
      </w:r>
      <w:proofErr w:type="spellEnd"/>
      <w:r w:rsidRPr="004772F7">
        <w:rPr>
          <w:sz w:val="32"/>
          <w:szCs w:val="32"/>
        </w:rPr>
        <w:t xml:space="preserve"> Moroccan Women's Centre </w:t>
      </w:r>
    </w:p>
    <w:p w:rsidRPr="004772F7" w:rsidR="003F3045" w:rsidP="003F3045" w:rsidRDefault="003F3045" w14:paraId="3D7C7B15" w14:textId="77777777">
      <w:pPr>
        <w:rPr>
          <w:sz w:val="32"/>
          <w:szCs w:val="32"/>
        </w:rPr>
      </w:pPr>
      <w:r w:rsidRPr="004772F7">
        <w:rPr>
          <w:sz w:val="32"/>
          <w:szCs w:val="32"/>
        </w:rPr>
        <w:t xml:space="preserve">Angelou Centre </w:t>
      </w:r>
    </w:p>
    <w:p w:rsidRPr="004772F7" w:rsidR="003F3045" w:rsidP="003F3045" w:rsidRDefault="003F3045" w14:paraId="6B8AB73B" w14:textId="77777777">
      <w:pPr>
        <w:rPr>
          <w:sz w:val="32"/>
          <w:szCs w:val="32"/>
        </w:rPr>
      </w:pPr>
      <w:r w:rsidRPr="5FE7E87C" w:rsidR="003F3045">
        <w:rPr>
          <w:sz w:val="32"/>
          <w:szCs w:val="32"/>
        </w:rPr>
        <w:t xml:space="preserve">Apna Haq </w:t>
      </w:r>
    </w:p>
    <w:p w:rsidR="6CC7118D" w:rsidP="5FE7E87C" w:rsidRDefault="6CC7118D" w14:paraId="758A11CD" w14:textId="6A1CA035">
      <w:pPr>
        <w:pStyle w:val="Normal"/>
      </w:pPr>
      <w:r w:rsidRPr="5FE7E87C" w:rsidR="6CC7118D">
        <w:rPr>
          <w:rFonts w:ascii="Open Sans" w:hAnsi="Open Sans" w:eastAsia="Open Sans" w:cs="Open Sans"/>
          <w:noProof w:val="0"/>
          <w:sz w:val="32"/>
          <w:szCs w:val="32"/>
          <w:lang w:val="en-GB"/>
        </w:rPr>
        <w:t>Ashiana</w:t>
      </w:r>
      <w:r w:rsidRPr="5FE7E87C" w:rsidR="6CC7118D">
        <w:rPr>
          <w:rFonts w:ascii="Open Sans" w:hAnsi="Open Sans" w:eastAsia="Open Sans" w:cs="Open Sans"/>
          <w:noProof w:val="0"/>
          <w:sz w:val="32"/>
          <w:szCs w:val="32"/>
          <w:lang w:val="en-GB"/>
        </w:rPr>
        <w:t xml:space="preserve"> Network</w:t>
      </w:r>
    </w:p>
    <w:p w:rsidRPr="004772F7" w:rsidR="003F3045" w:rsidP="003F3045" w:rsidRDefault="003F3045" w14:paraId="43A45422" w14:textId="77777777">
      <w:pPr>
        <w:rPr>
          <w:sz w:val="32"/>
          <w:szCs w:val="32"/>
        </w:rPr>
      </w:pPr>
      <w:r w:rsidRPr="004772F7">
        <w:rPr>
          <w:sz w:val="32"/>
          <w:szCs w:val="32"/>
        </w:rPr>
        <w:t>Asian Women's Resource Centre (AWRC)</w:t>
      </w:r>
    </w:p>
    <w:p w:rsidRPr="004772F7" w:rsidR="003F3045" w:rsidP="003F3045" w:rsidRDefault="003F3045" w14:paraId="123C8661" w14:textId="77777777">
      <w:pPr>
        <w:rPr>
          <w:sz w:val="32"/>
          <w:szCs w:val="32"/>
        </w:rPr>
      </w:pPr>
      <w:r w:rsidRPr="004772F7">
        <w:rPr>
          <w:sz w:val="32"/>
          <w:szCs w:val="32"/>
        </w:rPr>
        <w:t>AVA (Against Violence and Abuse)</w:t>
      </w:r>
    </w:p>
    <w:p w:rsidRPr="004772F7" w:rsidR="003F3045" w:rsidP="003F3045" w:rsidRDefault="003F3045" w14:paraId="36FBEB8A" w14:textId="77777777">
      <w:pPr>
        <w:rPr>
          <w:sz w:val="32"/>
          <w:szCs w:val="32"/>
        </w:rPr>
      </w:pPr>
      <w:r w:rsidRPr="004772F7">
        <w:rPr>
          <w:sz w:val="32"/>
          <w:szCs w:val="32"/>
        </w:rPr>
        <w:t xml:space="preserve">BAWSO </w:t>
      </w:r>
    </w:p>
    <w:p w:rsidRPr="004772F7" w:rsidR="003F3045" w:rsidP="003F3045" w:rsidRDefault="003F3045" w14:paraId="7987DEBA" w14:textId="77777777">
      <w:pPr>
        <w:rPr>
          <w:sz w:val="32"/>
          <w:szCs w:val="32"/>
        </w:rPr>
      </w:pPr>
      <w:r w:rsidRPr="004772F7">
        <w:rPr>
          <w:sz w:val="32"/>
          <w:szCs w:val="32"/>
        </w:rPr>
        <w:t xml:space="preserve">Bold Voices </w:t>
      </w:r>
    </w:p>
    <w:p w:rsidRPr="004772F7" w:rsidR="003F3045" w:rsidP="003F3045" w:rsidRDefault="003F3045" w14:paraId="6C787E5A" w14:textId="77777777">
      <w:pPr>
        <w:rPr>
          <w:sz w:val="32"/>
          <w:szCs w:val="32"/>
        </w:rPr>
      </w:pPr>
      <w:r w:rsidRPr="004772F7">
        <w:rPr>
          <w:sz w:val="32"/>
          <w:szCs w:val="32"/>
        </w:rPr>
        <w:t xml:space="preserve">Cassandra Centre </w:t>
      </w:r>
    </w:p>
    <w:p w:rsidRPr="004772F7" w:rsidR="003F3045" w:rsidP="003F3045" w:rsidRDefault="003F3045" w14:paraId="65943B67" w14:textId="77777777">
      <w:pPr>
        <w:rPr>
          <w:sz w:val="32"/>
          <w:szCs w:val="32"/>
        </w:rPr>
      </w:pPr>
      <w:r w:rsidRPr="004772F7">
        <w:rPr>
          <w:sz w:val="32"/>
          <w:szCs w:val="32"/>
        </w:rPr>
        <w:t xml:space="preserve">Centre for Military Justice </w:t>
      </w:r>
    </w:p>
    <w:p w:rsidRPr="004772F7" w:rsidR="003F3045" w:rsidP="003F3045" w:rsidRDefault="003F3045" w14:paraId="02B7D03D" w14:textId="77777777">
      <w:pPr>
        <w:rPr>
          <w:sz w:val="32"/>
          <w:szCs w:val="32"/>
        </w:rPr>
      </w:pPr>
      <w:r w:rsidRPr="004772F7">
        <w:rPr>
          <w:sz w:val="32"/>
          <w:szCs w:val="32"/>
        </w:rPr>
        <w:t>Centre for Women's Justice (CWJ)</w:t>
      </w:r>
    </w:p>
    <w:p w:rsidRPr="004772F7" w:rsidR="003F3045" w:rsidP="003F3045" w:rsidRDefault="003F3045" w14:paraId="60BC6443" w14:textId="77777777">
      <w:pPr>
        <w:rPr>
          <w:sz w:val="32"/>
          <w:szCs w:val="32"/>
        </w:rPr>
      </w:pPr>
      <w:r w:rsidRPr="004772F7">
        <w:rPr>
          <w:sz w:val="32"/>
          <w:szCs w:val="32"/>
        </w:rPr>
        <w:t xml:space="preserve">Chayn </w:t>
      </w:r>
    </w:p>
    <w:p w:rsidRPr="004772F7" w:rsidR="003F3045" w:rsidP="003F3045" w:rsidRDefault="003F3045" w14:paraId="365F4FB6" w14:textId="77777777">
      <w:pPr>
        <w:rPr>
          <w:sz w:val="32"/>
          <w:szCs w:val="32"/>
        </w:rPr>
      </w:pPr>
      <w:r w:rsidRPr="004772F7">
        <w:rPr>
          <w:sz w:val="32"/>
          <w:szCs w:val="32"/>
        </w:rPr>
        <w:lastRenderedPageBreak/>
        <w:t>Deaf Ethnic Women Association (DEWA)</w:t>
      </w:r>
    </w:p>
    <w:p w:rsidRPr="004772F7" w:rsidR="003F3045" w:rsidP="003F3045" w:rsidRDefault="003F3045" w14:paraId="0181BCC8" w14:textId="77777777">
      <w:pPr>
        <w:rPr>
          <w:sz w:val="32"/>
          <w:szCs w:val="32"/>
        </w:rPr>
      </w:pPr>
      <w:r w:rsidRPr="004772F7">
        <w:rPr>
          <w:sz w:val="32"/>
          <w:szCs w:val="32"/>
        </w:rPr>
        <w:t xml:space="preserve">Drive Partnership </w:t>
      </w:r>
    </w:p>
    <w:p w:rsidRPr="004772F7" w:rsidR="003F3045" w:rsidP="003F3045" w:rsidRDefault="003F3045" w14:paraId="6933F8F4" w14:textId="77777777">
      <w:pPr>
        <w:rPr>
          <w:sz w:val="32"/>
          <w:szCs w:val="32"/>
        </w:rPr>
      </w:pPr>
      <w:r w:rsidRPr="004772F7">
        <w:rPr>
          <w:sz w:val="32"/>
          <w:szCs w:val="32"/>
        </w:rPr>
        <w:t>Durham University Centre for Research into Violence and Abuse (</w:t>
      </w:r>
      <w:proofErr w:type="spellStart"/>
      <w:r w:rsidRPr="004772F7">
        <w:rPr>
          <w:sz w:val="32"/>
          <w:szCs w:val="32"/>
        </w:rPr>
        <w:t>CRiVA</w:t>
      </w:r>
      <w:proofErr w:type="spellEnd"/>
      <w:r w:rsidRPr="004772F7">
        <w:rPr>
          <w:sz w:val="32"/>
          <w:szCs w:val="32"/>
        </w:rPr>
        <w:t xml:space="preserve">) </w:t>
      </w:r>
    </w:p>
    <w:p w:rsidRPr="004772F7" w:rsidR="003F3045" w:rsidP="003F3045" w:rsidRDefault="003F3045" w14:paraId="09E2A09B" w14:textId="77777777">
      <w:pPr>
        <w:rPr>
          <w:sz w:val="32"/>
          <w:szCs w:val="32"/>
        </w:rPr>
      </w:pPr>
      <w:r w:rsidRPr="5FE7E87C" w:rsidR="003F3045">
        <w:rPr>
          <w:sz w:val="32"/>
          <w:szCs w:val="32"/>
        </w:rPr>
        <w:t xml:space="preserve">Ellas </w:t>
      </w:r>
    </w:p>
    <w:p w:rsidR="657E1539" w:rsidP="5FE7E87C" w:rsidRDefault="657E1539" w14:paraId="56558F65" w14:textId="10DE5219">
      <w:pPr>
        <w:pStyle w:val="Normal"/>
      </w:pPr>
      <w:r w:rsidRPr="5FE7E87C" w:rsidR="657E1539">
        <w:rPr>
          <w:rFonts w:ascii="Open Sans" w:hAnsi="Open Sans" w:eastAsia="Open Sans" w:cs="Open Sans"/>
          <w:noProof w:val="0"/>
          <w:sz w:val="32"/>
          <w:szCs w:val="32"/>
          <w:lang w:val="en-GB"/>
        </w:rPr>
        <w:t>Forward</w:t>
      </w:r>
    </w:p>
    <w:p w:rsidRPr="004772F7" w:rsidR="003F3045" w:rsidP="003F3045" w:rsidRDefault="003F3045" w14:paraId="563811D4" w14:textId="77777777">
      <w:pPr>
        <w:rPr>
          <w:sz w:val="32"/>
          <w:szCs w:val="32"/>
        </w:rPr>
      </w:pPr>
      <w:r w:rsidRPr="004772F7">
        <w:rPr>
          <w:sz w:val="32"/>
          <w:szCs w:val="32"/>
        </w:rPr>
        <w:t xml:space="preserve">Galop </w:t>
      </w:r>
    </w:p>
    <w:p w:rsidRPr="004772F7" w:rsidR="003F3045" w:rsidP="003F3045" w:rsidRDefault="003F3045" w14:paraId="4010E2B5" w14:textId="77777777">
      <w:pPr>
        <w:rPr>
          <w:sz w:val="32"/>
          <w:szCs w:val="32"/>
        </w:rPr>
      </w:pPr>
      <w:r w:rsidRPr="5FE7E87C" w:rsidR="003F3045">
        <w:rPr>
          <w:sz w:val="32"/>
          <w:szCs w:val="32"/>
        </w:rPr>
        <w:t xml:space="preserve">Her Centre </w:t>
      </w:r>
    </w:p>
    <w:p w:rsidR="0AA2BFEF" w:rsidP="5FE7E87C" w:rsidRDefault="0AA2BFEF" w14:paraId="3D7BEEFE" w14:textId="1356A9CB">
      <w:pPr>
        <w:pStyle w:val="Normal"/>
      </w:pPr>
      <w:r w:rsidRPr="5FE7E87C" w:rsidR="0AA2BFEF">
        <w:rPr>
          <w:rFonts w:ascii="Open Sans" w:hAnsi="Open Sans" w:eastAsia="Open Sans" w:cs="Open Sans"/>
          <w:noProof w:val="0"/>
          <w:sz w:val="32"/>
          <w:szCs w:val="32"/>
          <w:lang w:val="en-GB"/>
        </w:rPr>
        <w:t>Hibiscus</w:t>
      </w:r>
    </w:p>
    <w:p w:rsidRPr="004772F7" w:rsidR="003F3045" w:rsidP="003F3045" w:rsidRDefault="003F3045" w14:paraId="62D61AC9" w14:textId="77777777">
      <w:pPr>
        <w:rPr>
          <w:sz w:val="32"/>
          <w:szCs w:val="32"/>
        </w:rPr>
      </w:pPr>
      <w:r w:rsidRPr="004772F7">
        <w:rPr>
          <w:sz w:val="32"/>
          <w:szCs w:val="32"/>
        </w:rPr>
        <w:t xml:space="preserve">Hull Sisters </w:t>
      </w:r>
    </w:p>
    <w:p w:rsidRPr="004772F7" w:rsidR="003F3045" w:rsidP="003F3045" w:rsidRDefault="003F3045" w14:paraId="4ACE737A" w14:textId="77777777">
      <w:pPr>
        <w:rPr>
          <w:sz w:val="32"/>
          <w:szCs w:val="32"/>
        </w:rPr>
      </w:pPr>
      <w:proofErr w:type="spellStart"/>
      <w:r w:rsidRPr="004772F7">
        <w:rPr>
          <w:sz w:val="32"/>
          <w:szCs w:val="32"/>
        </w:rPr>
        <w:t>Humraaz</w:t>
      </w:r>
      <w:proofErr w:type="spellEnd"/>
      <w:r w:rsidRPr="004772F7">
        <w:rPr>
          <w:sz w:val="32"/>
          <w:szCs w:val="32"/>
        </w:rPr>
        <w:t xml:space="preserve"> </w:t>
      </w:r>
    </w:p>
    <w:p w:rsidRPr="004772F7" w:rsidR="003F3045" w:rsidP="003F3045" w:rsidRDefault="003F3045" w14:paraId="6D30DCB8" w14:textId="77777777">
      <w:pPr>
        <w:rPr>
          <w:sz w:val="32"/>
          <w:szCs w:val="32"/>
        </w:rPr>
      </w:pPr>
      <w:r w:rsidRPr="004772F7">
        <w:rPr>
          <w:sz w:val="32"/>
          <w:szCs w:val="32"/>
        </w:rPr>
        <w:t>Independent Domestic Abuse Services (IDAS)</w:t>
      </w:r>
    </w:p>
    <w:p w:rsidRPr="004772F7" w:rsidR="003F3045" w:rsidP="003F3045" w:rsidRDefault="003F3045" w14:paraId="0690710A" w14:textId="77777777">
      <w:pPr>
        <w:rPr>
          <w:sz w:val="32"/>
          <w:szCs w:val="32"/>
        </w:rPr>
      </w:pPr>
      <w:r w:rsidRPr="004772F7">
        <w:rPr>
          <w:sz w:val="32"/>
          <w:szCs w:val="32"/>
        </w:rPr>
        <w:t>IKWRO (Iranian &amp; Kurdish Womens Rights Organisation)</w:t>
      </w:r>
    </w:p>
    <w:p w:rsidRPr="004772F7" w:rsidR="003F3045" w:rsidP="003F3045" w:rsidRDefault="003F3045" w14:paraId="6E4D3936" w14:textId="77777777">
      <w:pPr>
        <w:rPr>
          <w:sz w:val="32"/>
          <w:szCs w:val="32"/>
        </w:rPr>
      </w:pPr>
      <w:proofErr w:type="spellStart"/>
      <w:r w:rsidRPr="004772F7">
        <w:rPr>
          <w:sz w:val="32"/>
          <w:szCs w:val="32"/>
        </w:rPr>
        <w:t>Imkaan</w:t>
      </w:r>
      <w:proofErr w:type="spellEnd"/>
      <w:r w:rsidRPr="004772F7">
        <w:rPr>
          <w:sz w:val="32"/>
          <w:szCs w:val="32"/>
        </w:rPr>
        <w:t xml:space="preserve"> </w:t>
      </w:r>
    </w:p>
    <w:p w:rsidRPr="004772F7" w:rsidR="003F3045" w:rsidP="003F3045" w:rsidRDefault="003F3045" w14:paraId="2398CFBE" w14:textId="77777777">
      <w:pPr>
        <w:rPr>
          <w:sz w:val="32"/>
          <w:szCs w:val="32"/>
        </w:rPr>
      </w:pPr>
      <w:r w:rsidRPr="004772F7">
        <w:rPr>
          <w:sz w:val="32"/>
          <w:szCs w:val="32"/>
        </w:rPr>
        <w:t xml:space="preserve">IRISi </w:t>
      </w:r>
    </w:p>
    <w:p w:rsidRPr="004772F7" w:rsidR="003F3045" w:rsidP="003F3045" w:rsidRDefault="003F3045" w14:paraId="38668111" w14:textId="77777777">
      <w:pPr>
        <w:rPr>
          <w:sz w:val="32"/>
          <w:szCs w:val="32"/>
        </w:rPr>
      </w:pPr>
      <w:r w:rsidRPr="004772F7">
        <w:rPr>
          <w:sz w:val="32"/>
          <w:szCs w:val="32"/>
        </w:rPr>
        <w:t xml:space="preserve">Jewish Women's Aid </w:t>
      </w:r>
    </w:p>
    <w:p w:rsidRPr="004772F7" w:rsidR="003F3045" w:rsidP="003F3045" w:rsidRDefault="003F3045" w14:paraId="4F72493C" w14:textId="77777777">
      <w:pPr>
        <w:rPr>
          <w:sz w:val="32"/>
          <w:szCs w:val="32"/>
        </w:rPr>
      </w:pPr>
      <w:r w:rsidRPr="004772F7">
        <w:rPr>
          <w:sz w:val="32"/>
          <w:szCs w:val="32"/>
        </w:rPr>
        <w:t xml:space="preserve">Juno Women's Aid </w:t>
      </w:r>
    </w:p>
    <w:p w:rsidRPr="004772F7" w:rsidR="003F3045" w:rsidP="003F3045" w:rsidRDefault="003F3045" w14:paraId="6E705763" w14:textId="77777777">
      <w:pPr>
        <w:rPr>
          <w:sz w:val="32"/>
          <w:szCs w:val="32"/>
        </w:rPr>
      </w:pPr>
      <w:r w:rsidRPr="004772F7">
        <w:rPr>
          <w:sz w:val="32"/>
          <w:szCs w:val="32"/>
        </w:rPr>
        <w:t xml:space="preserve">JURIES </w:t>
      </w:r>
    </w:p>
    <w:p w:rsidRPr="004772F7" w:rsidR="003F3045" w:rsidP="003F3045" w:rsidRDefault="003F3045" w14:paraId="66D573F0" w14:textId="77777777">
      <w:pPr>
        <w:rPr>
          <w:sz w:val="32"/>
          <w:szCs w:val="32"/>
        </w:rPr>
      </w:pPr>
      <w:r w:rsidRPr="004772F7">
        <w:rPr>
          <w:sz w:val="32"/>
          <w:szCs w:val="32"/>
        </w:rPr>
        <w:t xml:space="preserve">Karma Nirvana </w:t>
      </w:r>
    </w:p>
    <w:p w:rsidRPr="004772F7" w:rsidR="003F3045" w:rsidP="003F3045" w:rsidRDefault="003F3045" w14:paraId="25CDAB83" w14:textId="77777777">
      <w:pPr>
        <w:rPr>
          <w:sz w:val="32"/>
          <w:szCs w:val="32"/>
        </w:rPr>
      </w:pPr>
      <w:r w:rsidRPr="004772F7">
        <w:rPr>
          <w:sz w:val="32"/>
          <w:szCs w:val="32"/>
        </w:rPr>
        <w:lastRenderedPageBreak/>
        <w:t>Kurdish and Middle Eastern Women's Organisation (KMEWO)</w:t>
      </w:r>
    </w:p>
    <w:p w:rsidRPr="004772F7" w:rsidR="003F3045" w:rsidP="003F3045" w:rsidRDefault="003F3045" w14:paraId="5E397497" w14:textId="77777777">
      <w:pPr>
        <w:rPr>
          <w:sz w:val="32"/>
          <w:szCs w:val="32"/>
        </w:rPr>
      </w:pPr>
      <w:r w:rsidRPr="004772F7">
        <w:rPr>
          <w:sz w:val="32"/>
          <w:szCs w:val="32"/>
        </w:rPr>
        <w:t>Latin American Women’s Aid (LAWA)</w:t>
      </w:r>
    </w:p>
    <w:p w:rsidRPr="004772F7" w:rsidR="003F3045" w:rsidP="003F3045" w:rsidRDefault="003F3045" w14:paraId="5D3AA0F1" w14:textId="77777777">
      <w:pPr>
        <w:rPr>
          <w:sz w:val="32"/>
          <w:szCs w:val="32"/>
        </w:rPr>
      </w:pPr>
      <w:r w:rsidRPr="004772F7">
        <w:rPr>
          <w:sz w:val="32"/>
          <w:szCs w:val="32"/>
        </w:rPr>
        <w:t>Latin American Women’s Rights Service (LAWRS)</w:t>
      </w:r>
    </w:p>
    <w:p w:rsidRPr="004772F7" w:rsidR="003F3045" w:rsidP="003F3045" w:rsidRDefault="003F3045" w14:paraId="2D3D2075" w14:textId="77777777">
      <w:pPr>
        <w:rPr>
          <w:sz w:val="32"/>
          <w:szCs w:val="32"/>
        </w:rPr>
      </w:pPr>
      <w:r w:rsidRPr="004772F7">
        <w:rPr>
          <w:sz w:val="32"/>
          <w:szCs w:val="32"/>
        </w:rPr>
        <w:t xml:space="preserve">London VAWG Consortium </w:t>
      </w:r>
    </w:p>
    <w:p w:rsidRPr="004772F7" w:rsidR="003F3045" w:rsidP="003F3045" w:rsidRDefault="003F3045" w14:paraId="1D12F95B" w14:textId="77777777">
      <w:pPr>
        <w:rPr>
          <w:sz w:val="32"/>
          <w:szCs w:val="32"/>
        </w:rPr>
      </w:pPr>
      <w:r w:rsidRPr="004772F7">
        <w:rPr>
          <w:sz w:val="32"/>
          <w:szCs w:val="32"/>
        </w:rPr>
        <w:t>Middle Eastern Women &amp; Society Organisation (MEWSO)</w:t>
      </w:r>
    </w:p>
    <w:p w:rsidRPr="004772F7" w:rsidR="003F3045" w:rsidP="003F3045" w:rsidRDefault="003F3045" w14:paraId="7BF4CB28" w14:textId="77777777">
      <w:pPr>
        <w:rPr>
          <w:sz w:val="32"/>
          <w:szCs w:val="32"/>
        </w:rPr>
      </w:pPr>
      <w:r w:rsidRPr="004772F7">
        <w:rPr>
          <w:sz w:val="32"/>
          <w:szCs w:val="32"/>
        </w:rPr>
        <w:t xml:space="preserve">Network of Eritrean Women-UK </w:t>
      </w:r>
    </w:p>
    <w:p w:rsidRPr="004772F7" w:rsidR="003F3045" w:rsidP="003F3045" w:rsidRDefault="003F3045" w14:paraId="7922B916" w14:textId="77777777">
      <w:pPr>
        <w:rPr>
          <w:sz w:val="32"/>
          <w:szCs w:val="32"/>
        </w:rPr>
      </w:pPr>
      <w:r w:rsidRPr="004772F7">
        <w:rPr>
          <w:sz w:val="32"/>
          <w:szCs w:val="32"/>
        </w:rPr>
        <w:t xml:space="preserve">P.H.O.E.B.E </w:t>
      </w:r>
    </w:p>
    <w:p w:rsidRPr="004772F7" w:rsidR="003F3045" w:rsidP="003F3045" w:rsidRDefault="003F3045" w14:paraId="44236F10" w14:textId="77777777">
      <w:pPr>
        <w:rPr>
          <w:sz w:val="32"/>
          <w:szCs w:val="32"/>
        </w:rPr>
      </w:pPr>
      <w:r w:rsidRPr="004772F7">
        <w:rPr>
          <w:sz w:val="32"/>
          <w:szCs w:val="32"/>
        </w:rPr>
        <w:t xml:space="preserve">Police Spies Out of Lives </w:t>
      </w:r>
    </w:p>
    <w:p w:rsidRPr="004772F7" w:rsidR="003F3045" w:rsidP="003F3045" w:rsidRDefault="003F3045" w14:paraId="1E688C36" w14:textId="77777777">
      <w:pPr>
        <w:rPr>
          <w:sz w:val="32"/>
          <w:szCs w:val="32"/>
        </w:rPr>
      </w:pPr>
      <w:r w:rsidRPr="004772F7">
        <w:rPr>
          <w:sz w:val="32"/>
          <w:szCs w:val="32"/>
        </w:rPr>
        <w:t xml:space="preserve">Rape &amp; Sexual Abuse Support Centre (RASASC) </w:t>
      </w:r>
    </w:p>
    <w:p w:rsidRPr="004772F7" w:rsidR="003F3045" w:rsidP="003F3045" w:rsidRDefault="003F3045" w14:paraId="2BD7AD77" w14:textId="77777777">
      <w:pPr>
        <w:rPr>
          <w:sz w:val="32"/>
          <w:szCs w:val="32"/>
        </w:rPr>
      </w:pPr>
      <w:r w:rsidRPr="004772F7">
        <w:rPr>
          <w:sz w:val="32"/>
          <w:szCs w:val="32"/>
        </w:rPr>
        <w:t>Rape Crisis England and Wales (RCEW)</w:t>
      </w:r>
    </w:p>
    <w:p w:rsidRPr="004772F7" w:rsidR="003F3045" w:rsidP="003F3045" w:rsidRDefault="003F3045" w14:paraId="0C266A67" w14:textId="77777777">
      <w:pPr>
        <w:rPr>
          <w:sz w:val="32"/>
          <w:szCs w:val="32"/>
        </w:rPr>
      </w:pPr>
      <w:r w:rsidRPr="004772F7">
        <w:rPr>
          <w:sz w:val="32"/>
          <w:szCs w:val="32"/>
        </w:rPr>
        <w:t xml:space="preserve">Refuge </w:t>
      </w:r>
    </w:p>
    <w:p w:rsidRPr="004772F7" w:rsidR="003F3045" w:rsidP="003F3045" w:rsidRDefault="003F3045" w14:paraId="38CC9F6D" w14:textId="77777777">
      <w:pPr>
        <w:rPr>
          <w:sz w:val="32"/>
          <w:szCs w:val="32"/>
        </w:rPr>
      </w:pPr>
      <w:r w:rsidRPr="004772F7">
        <w:rPr>
          <w:sz w:val="32"/>
          <w:szCs w:val="32"/>
        </w:rPr>
        <w:t xml:space="preserve">Respect </w:t>
      </w:r>
    </w:p>
    <w:p w:rsidRPr="004772F7" w:rsidR="003F3045" w:rsidP="003F3045" w:rsidRDefault="003F3045" w14:paraId="1D0CE04E" w14:textId="77777777">
      <w:pPr>
        <w:rPr>
          <w:sz w:val="32"/>
          <w:szCs w:val="32"/>
        </w:rPr>
      </w:pPr>
      <w:r w:rsidRPr="004772F7">
        <w:rPr>
          <w:sz w:val="32"/>
          <w:szCs w:val="32"/>
        </w:rPr>
        <w:t xml:space="preserve">Restored </w:t>
      </w:r>
    </w:p>
    <w:p w:rsidRPr="004772F7" w:rsidR="003F3045" w:rsidP="003F3045" w:rsidRDefault="003F3045" w14:paraId="1205E3A9" w14:textId="77777777">
      <w:pPr>
        <w:rPr>
          <w:sz w:val="32"/>
          <w:szCs w:val="32"/>
        </w:rPr>
      </w:pPr>
      <w:r w:rsidRPr="004772F7">
        <w:rPr>
          <w:sz w:val="32"/>
          <w:szCs w:val="32"/>
        </w:rPr>
        <w:t xml:space="preserve">Rights of Women </w:t>
      </w:r>
    </w:p>
    <w:p w:rsidRPr="004772F7" w:rsidR="003F3045" w:rsidP="003F3045" w:rsidRDefault="003F3045" w14:paraId="06FB7D46" w14:textId="77777777">
      <w:pPr>
        <w:rPr>
          <w:sz w:val="32"/>
          <w:szCs w:val="32"/>
        </w:rPr>
      </w:pPr>
      <w:r w:rsidRPr="004772F7">
        <w:rPr>
          <w:sz w:val="32"/>
          <w:szCs w:val="32"/>
        </w:rPr>
        <w:t xml:space="preserve">Rochdale Women’s Welfare Association </w:t>
      </w:r>
    </w:p>
    <w:p w:rsidRPr="004772F7" w:rsidR="003F3045" w:rsidP="003F3045" w:rsidRDefault="003F3045" w14:paraId="7901A6B7" w14:textId="77777777">
      <w:pPr>
        <w:rPr>
          <w:sz w:val="32"/>
          <w:szCs w:val="32"/>
        </w:rPr>
      </w:pPr>
      <w:r w:rsidRPr="004772F7">
        <w:rPr>
          <w:sz w:val="32"/>
          <w:szCs w:val="32"/>
        </w:rPr>
        <w:t xml:space="preserve">Roshni </w:t>
      </w:r>
    </w:p>
    <w:p w:rsidRPr="004772F7" w:rsidR="003F3045" w:rsidP="003F3045" w:rsidRDefault="003F3045" w14:paraId="4F65B4D6" w14:textId="77777777">
      <w:pPr>
        <w:rPr>
          <w:sz w:val="32"/>
          <w:szCs w:val="32"/>
        </w:rPr>
      </w:pPr>
      <w:r w:rsidRPr="004772F7">
        <w:rPr>
          <w:sz w:val="32"/>
          <w:szCs w:val="32"/>
        </w:rPr>
        <w:lastRenderedPageBreak/>
        <w:t xml:space="preserve">Safe Lives </w:t>
      </w:r>
    </w:p>
    <w:p w:rsidRPr="004772F7" w:rsidR="003F3045" w:rsidP="003F3045" w:rsidRDefault="003F3045" w14:paraId="0BD76769" w14:textId="77777777">
      <w:pPr>
        <w:rPr>
          <w:sz w:val="32"/>
          <w:szCs w:val="32"/>
        </w:rPr>
      </w:pPr>
      <w:r w:rsidRPr="004772F7">
        <w:rPr>
          <w:sz w:val="32"/>
          <w:szCs w:val="32"/>
        </w:rPr>
        <w:t xml:space="preserve">Safer Places </w:t>
      </w:r>
    </w:p>
    <w:p w:rsidRPr="004772F7" w:rsidR="003F3045" w:rsidP="003F3045" w:rsidRDefault="003F3045" w14:paraId="61A6EFAC" w14:textId="77777777">
      <w:pPr>
        <w:rPr>
          <w:sz w:val="32"/>
          <w:szCs w:val="32"/>
        </w:rPr>
      </w:pPr>
      <w:r w:rsidRPr="004772F7">
        <w:rPr>
          <w:sz w:val="32"/>
          <w:szCs w:val="32"/>
        </w:rPr>
        <w:t xml:space="preserve">Safety4Sisters </w:t>
      </w:r>
    </w:p>
    <w:p w:rsidRPr="004772F7" w:rsidR="003F3045" w:rsidP="003F3045" w:rsidRDefault="003F3045" w14:paraId="5C459317" w14:textId="77777777">
      <w:pPr>
        <w:rPr>
          <w:sz w:val="32"/>
          <w:szCs w:val="32"/>
        </w:rPr>
      </w:pPr>
      <w:r w:rsidRPr="004772F7">
        <w:rPr>
          <w:sz w:val="32"/>
          <w:szCs w:val="32"/>
        </w:rPr>
        <w:t>SARSAS (Somerset and Avon Rape and Sexual Abuse Support)</w:t>
      </w:r>
    </w:p>
    <w:p w:rsidRPr="004772F7" w:rsidR="003F3045" w:rsidP="003F3045" w:rsidRDefault="003F3045" w14:paraId="7428D1FD" w14:textId="77777777">
      <w:pPr>
        <w:rPr>
          <w:sz w:val="32"/>
          <w:szCs w:val="32"/>
        </w:rPr>
      </w:pPr>
      <w:r w:rsidRPr="004772F7">
        <w:rPr>
          <w:sz w:val="32"/>
          <w:szCs w:val="32"/>
        </w:rPr>
        <w:t xml:space="preserve">Sign Health </w:t>
      </w:r>
    </w:p>
    <w:p w:rsidRPr="004772F7" w:rsidR="003F3045" w:rsidP="003F3045" w:rsidRDefault="003F3045" w14:paraId="5D0CC1AE" w14:textId="77777777">
      <w:pPr>
        <w:rPr>
          <w:sz w:val="32"/>
          <w:szCs w:val="32"/>
        </w:rPr>
      </w:pPr>
      <w:r w:rsidRPr="004772F7">
        <w:rPr>
          <w:sz w:val="32"/>
          <w:szCs w:val="32"/>
        </w:rPr>
        <w:t xml:space="preserve">Sisters of Frida </w:t>
      </w:r>
    </w:p>
    <w:p w:rsidRPr="004772F7" w:rsidR="003F3045" w:rsidP="003F3045" w:rsidRDefault="003F3045" w14:paraId="4D6F2A45" w14:textId="77777777">
      <w:pPr>
        <w:rPr>
          <w:sz w:val="32"/>
          <w:szCs w:val="32"/>
        </w:rPr>
      </w:pPr>
      <w:r w:rsidRPr="004772F7">
        <w:rPr>
          <w:sz w:val="32"/>
          <w:szCs w:val="32"/>
        </w:rPr>
        <w:t>Solace Women's Aid</w:t>
      </w:r>
    </w:p>
    <w:p w:rsidRPr="004772F7" w:rsidR="003F3045" w:rsidP="003F3045" w:rsidRDefault="003F3045" w14:paraId="3CB56EC9" w14:textId="77777777">
      <w:pPr>
        <w:rPr>
          <w:sz w:val="32"/>
          <w:szCs w:val="32"/>
        </w:rPr>
      </w:pPr>
      <w:r w:rsidRPr="004772F7">
        <w:rPr>
          <w:sz w:val="32"/>
          <w:szCs w:val="32"/>
        </w:rPr>
        <w:t>Southall Black Sisters (SBS)</w:t>
      </w:r>
    </w:p>
    <w:p w:rsidRPr="004772F7" w:rsidR="003F3045" w:rsidP="003F3045" w:rsidRDefault="003F3045" w14:paraId="1767E712" w14:textId="77777777">
      <w:pPr>
        <w:rPr>
          <w:sz w:val="32"/>
          <w:szCs w:val="32"/>
        </w:rPr>
      </w:pPr>
      <w:r w:rsidRPr="004772F7">
        <w:rPr>
          <w:sz w:val="32"/>
          <w:szCs w:val="32"/>
        </w:rPr>
        <w:t xml:space="preserve">Standing Together </w:t>
      </w:r>
    </w:p>
    <w:p w:rsidRPr="004772F7" w:rsidR="003F3045" w:rsidP="003F3045" w:rsidRDefault="003F3045" w14:paraId="08184D0C" w14:textId="77777777">
      <w:pPr>
        <w:rPr>
          <w:sz w:val="32"/>
          <w:szCs w:val="32"/>
        </w:rPr>
      </w:pPr>
      <w:r w:rsidRPr="004772F7">
        <w:rPr>
          <w:sz w:val="32"/>
          <w:szCs w:val="32"/>
        </w:rPr>
        <w:t xml:space="preserve">Stay Safe East </w:t>
      </w:r>
    </w:p>
    <w:p w:rsidRPr="004772F7" w:rsidR="003F3045" w:rsidP="003F3045" w:rsidRDefault="003F3045" w14:paraId="27507EFB" w14:textId="77777777">
      <w:pPr>
        <w:rPr>
          <w:sz w:val="32"/>
          <w:szCs w:val="32"/>
        </w:rPr>
      </w:pPr>
      <w:r w:rsidRPr="004772F7">
        <w:rPr>
          <w:sz w:val="32"/>
          <w:szCs w:val="32"/>
        </w:rPr>
        <w:t>Surviving Economic Abuse (SEA)</w:t>
      </w:r>
    </w:p>
    <w:p w:rsidRPr="004772F7" w:rsidR="003F3045" w:rsidP="003F3045" w:rsidRDefault="003F3045" w14:paraId="562430CF" w14:textId="77777777">
      <w:pPr>
        <w:rPr>
          <w:sz w:val="32"/>
          <w:szCs w:val="32"/>
        </w:rPr>
      </w:pPr>
      <w:r w:rsidRPr="004772F7">
        <w:rPr>
          <w:sz w:val="32"/>
          <w:szCs w:val="32"/>
        </w:rPr>
        <w:t xml:space="preserve">Suzy Lamplugh </w:t>
      </w:r>
    </w:p>
    <w:p w:rsidRPr="004772F7" w:rsidR="003F3045" w:rsidP="003F3045" w:rsidRDefault="003F3045" w14:paraId="457155EE" w14:textId="77777777">
      <w:pPr>
        <w:rPr>
          <w:sz w:val="32"/>
          <w:szCs w:val="32"/>
        </w:rPr>
      </w:pPr>
      <w:r w:rsidRPr="004772F7">
        <w:rPr>
          <w:sz w:val="32"/>
          <w:szCs w:val="32"/>
        </w:rPr>
        <w:t xml:space="preserve">The Women's Liberation Collective (Own My Life) </w:t>
      </w:r>
    </w:p>
    <w:p w:rsidRPr="004772F7" w:rsidR="003F3045" w:rsidP="003F3045" w:rsidRDefault="003F3045" w14:paraId="27FA7869" w14:textId="77777777">
      <w:pPr>
        <w:rPr>
          <w:sz w:val="32"/>
          <w:szCs w:val="32"/>
        </w:rPr>
      </w:pPr>
      <w:proofErr w:type="spellStart"/>
      <w:r w:rsidRPr="004772F7">
        <w:rPr>
          <w:sz w:val="32"/>
          <w:szCs w:val="32"/>
        </w:rPr>
        <w:t>Travellor</w:t>
      </w:r>
      <w:proofErr w:type="spellEnd"/>
      <w:r w:rsidRPr="004772F7">
        <w:rPr>
          <w:sz w:val="32"/>
          <w:szCs w:val="32"/>
        </w:rPr>
        <w:t xml:space="preserve"> Movement </w:t>
      </w:r>
    </w:p>
    <w:p w:rsidRPr="004772F7" w:rsidR="003F3045" w:rsidP="003F3045" w:rsidRDefault="003F3045" w14:paraId="4EEA0BAA" w14:textId="77777777">
      <w:pPr>
        <w:rPr>
          <w:sz w:val="32"/>
          <w:szCs w:val="32"/>
        </w:rPr>
      </w:pPr>
      <w:r w:rsidRPr="004772F7">
        <w:rPr>
          <w:sz w:val="32"/>
          <w:szCs w:val="32"/>
        </w:rPr>
        <w:t xml:space="preserve">Welsh Women's Aid </w:t>
      </w:r>
    </w:p>
    <w:p w:rsidRPr="004772F7" w:rsidR="003F3045" w:rsidP="003F3045" w:rsidRDefault="003F3045" w14:paraId="03CE6974" w14:textId="77777777">
      <w:pPr>
        <w:rPr>
          <w:sz w:val="32"/>
          <w:szCs w:val="32"/>
        </w:rPr>
      </w:pPr>
      <w:r w:rsidRPr="004772F7">
        <w:rPr>
          <w:sz w:val="32"/>
          <w:szCs w:val="32"/>
        </w:rPr>
        <w:t xml:space="preserve">Womankind Worldwide </w:t>
      </w:r>
    </w:p>
    <w:p w:rsidRPr="004772F7" w:rsidR="003F3045" w:rsidP="003F3045" w:rsidRDefault="003F3045" w14:paraId="20B041D0" w14:textId="77777777">
      <w:pPr>
        <w:rPr>
          <w:sz w:val="32"/>
          <w:szCs w:val="32"/>
        </w:rPr>
      </w:pPr>
      <w:r w:rsidRPr="004772F7">
        <w:rPr>
          <w:sz w:val="32"/>
          <w:szCs w:val="32"/>
        </w:rPr>
        <w:lastRenderedPageBreak/>
        <w:t xml:space="preserve">Women and Girls Network </w:t>
      </w:r>
    </w:p>
    <w:p w:rsidRPr="004772F7" w:rsidR="003F3045" w:rsidP="003F3045" w:rsidRDefault="003F3045" w14:paraId="24D984A8" w14:textId="77777777">
      <w:pPr>
        <w:rPr>
          <w:sz w:val="32"/>
          <w:szCs w:val="32"/>
        </w:rPr>
      </w:pPr>
      <w:r w:rsidRPr="004772F7">
        <w:rPr>
          <w:sz w:val="32"/>
          <w:szCs w:val="32"/>
        </w:rPr>
        <w:t xml:space="preserve">Women for Refugee Women </w:t>
      </w:r>
    </w:p>
    <w:p w:rsidRPr="004772F7" w:rsidR="003F3045" w:rsidP="003F3045" w:rsidRDefault="003F3045" w14:paraId="47C2EE6F" w14:textId="77777777">
      <w:pPr>
        <w:rPr>
          <w:sz w:val="32"/>
          <w:szCs w:val="32"/>
        </w:rPr>
      </w:pPr>
      <w:r w:rsidRPr="004772F7">
        <w:rPr>
          <w:sz w:val="32"/>
          <w:szCs w:val="32"/>
        </w:rPr>
        <w:t xml:space="preserve">Women in Prison </w:t>
      </w:r>
    </w:p>
    <w:p w:rsidRPr="004772F7" w:rsidR="003F3045" w:rsidP="003F3045" w:rsidRDefault="003F3045" w14:paraId="1C41E427" w14:textId="77777777">
      <w:pPr>
        <w:rPr>
          <w:sz w:val="32"/>
          <w:szCs w:val="32"/>
        </w:rPr>
      </w:pPr>
      <w:proofErr w:type="spellStart"/>
      <w:r w:rsidRPr="004772F7">
        <w:rPr>
          <w:sz w:val="32"/>
          <w:szCs w:val="32"/>
        </w:rPr>
        <w:t>women@the</w:t>
      </w:r>
      <w:proofErr w:type="spellEnd"/>
      <w:r w:rsidRPr="004772F7">
        <w:rPr>
          <w:sz w:val="32"/>
          <w:szCs w:val="32"/>
        </w:rPr>
        <w:t xml:space="preserve"> well </w:t>
      </w:r>
    </w:p>
    <w:p w:rsidRPr="004772F7" w:rsidR="003F3045" w:rsidP="003F3045" w:rsidRDefault="003F3045" w14:paraId="26DA7F1E" w14:textId="77777777">
      <w:pPr>
        <w:rPr>
          <w:sz w:val="32"/>
          <w:szCs w:val="32"/>
        </w:rPr>
      </w:pPr>
      <w:r w:rsidRPr="004772F7">
        <w:rPr>
          <w:sz w:val="32"/>
          <w:szCs w:val="32"/>
        </w:rPr>
        <w:t>Women's Resource Centre (WRC)</w:t>
      </w:r>
    </w:p>
    <w:p w:rsidRPr="004772F7" w:rsidR="003F3045" w:rsidP="003F3045" w:rsidRDefault="003F3045" w14:paraId="274B584C" w14:textId="77777777">
      <w:pPr>
        <w:rPr>
          <w:sz w:val="32"/>
          <w:szCs w:val="32"/>
        </w:rPr>
      </w:pPr>
      <w:r w:rsidRPr="004772F7">
        <w:rPr>
          <w:sz w:val="32"/>
          <w:szCs w:val="32"/>
        </w:rPr>
        <w:t xml:space="preserve">Working Chance </w:t>
      </w:r>
    </w:p>
    <w:p w:rsidRPr="004772F7" w:rsidR="003F3045" w:rsidP="003F3045" w:rsidRDefault="003F3045" w14:paraId="79205567" w14:textId="10873082">
      <w:pPr>
        <w:rPr>
          <w:sz w:val="32"/>
          <w:szCs w:val="32"/>
        </w:rPr>
      </w:pPr>
      <w:r w:rsidRPr="004772F7">
        <w:rPr>
          <w:sz w:val="32"/>
          <w:szCs w:val="32"/>
        </w:rPr>
        <w:t xml:space="preserve">WWIN (Wearside Women </w:t>
      </w:r>
      <w:proofErr w:type="gramStart"/>
      <w:r w:rsidRPr="004772F7">
        <w:rPr>
          <w:sz w:val="32"/>
          <w:szCs w:val="32"/>
        </w:rPr>
        <w:t>In</w:t>
      </w:r>
      <w:proofErr w:type="gramEnd"/>
      <w:r w:rsidRPr="004772F7">
        <w:rPr>
          <w:sz w:val="32"/>
          <w:szCs w:val="32"/>
        </w:rPr>
        <w:t xml:space="preserve"> Need)</w:t>
      </w:r>
    </w:p>
    <w:sectPr w:rsidRPr="004772F7" w:rsidR="003F3045" w:rsidSect="00B546C3">
      <w:footerReference w:type="default" r:id="rId11"/>
      <w:headerReference w:type="first" r:id="rId12"/>
      <w:pgSz w:w="11906" w:h="16838" w:orient="portrait"/>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F75" w:rsidP="007268B0" w:rsidRDefault="00BF6F75" w14:paraId="3F69A060" w14:textId="77777777">
      <w:pPr>
        <w:spacing w:after="0" w:line="240" w:lineRule="auto"/>
      </w:pPr>
      <w:r>
        <w:separator/>
      </w:r>
    </w:p>
  </w:endnote>
  <w:endnote w:type="continuationSeparator" w:id="0">
    <w:p w:rsidR="00BF6F75" w:rsidP="007268B0" w:rsidRDefault="00BF6F75" w14:paraId="21ED02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97977"/>
      <w:docPartObj>
        <w:docPartGallery w:val="Page Numbers (Bottom of Page)"/>
        <w:docPartUnique/>
      </w:docPartObj>
    </w:sdtPr>
    <w:sdtEndPr>
      <w:rPr>
        <w:noProof/>
      </w:rPr>
    </w:sdtEndPr>
    <w:sdtContent>
      <w:p w:rsidR="00F017B1" w:rsidP="008770F0" w:rsidRDefault="007268B0" w14:paraId="4DE0F8CC" w14:textId="5B63EB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17B1" w:rsidRDefault="00F017B1" w14:paraId="697084C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F75" w:rsidP="007268B0" w:rsidRDefault="00BF6F75" w14:paraId="36ABC288" w14:textId="77777777">
      <w:pPr>
        <w:spacing w:after="0" w:line="240" w:lineRule="auto"/>
      </w:pPr>
      <w:r>
        <w:separator/>
      </w:r>
    </w:p>
  </w:footnote>
  <w:footnote w:type="continuationSeparator" w:id="0">
    <w:p w:rsidR="00BF6F75" w:rsidP="007268B0" w:rsidRDefault="00BF6F75" w14:paraId="5C62162E" w14:textId="77777777">
      <w:pPr>
        <w:spacing w:after="0" w:line="240" w:lineRule="auto"/>
      </w:pPr>
      <w:r>
        <w:continuationSeparator/>
      </w:r>
    </w:p>
  </w:footnote>
  <w:footnote w:id="1">
    <w:p w:rsidRPr="004A5D41" w:rsidR="00941BB0" w:rsidP="00941BB0" w:rsidRDefault="00DE17EB" w14:paraId="789ED198" w14:textId="77777777">
      <w:pPr>
        <w:spacing w:line="240" w:lineRule="auto"/>
        <w:rPr>
          <w:sz w:val="26"/>
          <w:szCs w:val="26"/>
        </w:rPr>
      </w:pPr>
      <w:r>
        <w:rPr>
          <w:rStyle w:val="FootnoteReference"/>
        </w:rPr>
        <w:footnoteRef/>
      </w:r>
      <w:r>
        <w:t xml:space="preserve"> </w:t>
      </w:r>
      <w:r w:rsidRPr="004A5D41" w:rsidR="00941BB0">
        <w:rPr>
          <w:sz w:val="26"/>
          <w:szCs w:val="26"/>
        </w:rPr>
        <w:t xml:space="preserve">Council of Europe (2011) Council of Europe Convention on preventing and combating violence against women and domestic violence. </w:t>
      </w:r>
      <w:hyperlink r:id="rId1">
        <w:r w:rsidRPr="004A5D41" w:rsidR="00941BB0">
          <w:rPr>
            <w:color w:val="1155CC"/>
            <w:sz w:val="26"/>
            <w:szCs w:val="26"/>
            <w:u w:val="single"/>
          </w:rPr>
          <w:t>https://rm.coe.int/168008482e</w:t>
        </w:r>
      </w:hyperlink>
      <w:r w:rsidRPr="004A5D41" w:rsidR="00941BB0">
        <w:rPr>
          <w:sz w:val="26"/>
          <w:szCs w:val="26"/>
        </w:rPr>
        <w:t xml:space="preserve"> </w:t>
      </w:r>
    </w:p>
    <w:p w:rsidRPr="004A5D41" w:rsidR="00DE17EB" w:rsidRDefault="00DE17EB" w14:paraId="365CCCF8" w14:textId="7FDBB551">
      <w:pPr>
        <w:pStyle w:val="FootnoteText"/>
        <w:rPr>
          <w:sz w:val="26"/>
          <w:szCs w:val="26"/>
        </w:rPr>
      </w:pPr>
    </w:p>
  </w:footnote>
  <w:footnote w:id="2">
    <w:p w:rsidRPr="004A5D41" w:rsidR="00E57B6A" w:rsidP="00E57B6A" w:rsidRDefault="00E57B6A" w14:paraId="74DC0AA2" w14:textId="77777777">
      <w:pPr>
        <w:spacing w:line="240" w:lineRule="auto"/>
        <w:rPr>
          <w:sz w:val="26"/>
          <w:szCs w:val="26"/>
          <w:highlight w:val="white"/>
        </w:rPr>
      </w:pPr>
      <w:r w:rsidRPr="004A5D41">
        <w:rPr>
          <w:rStyle w:val="FootnoteReference"/>
          <w:sz w:val="26"/>
          <w:szCs w:val="26"/>
        </w:rPr>
        <w:footnoteRef/>
      </w:r>
      <w:r w:rsidRPr="004A5D41">
        <w:rPr>
          <w:sz w:val="26"/>
          <w:szCs w:val="26"/>
        </w:rPr>
        <w:t xml:space="preserve"> </w:t>
      </w:r>
      <w:r w:rsidRPr="004A5D41">
        <w:rPr>
          <w:sz w:val="26"/>
          <w:szCs w:val="26"/>
        </w:rPr>
        <w:t xml:space="preserve">Specialist support services operate independently from the state and their sole organisational purpose is to support adult and </w:t>
      </w:r>
      <w:proofErr w:type="gramStart"/>
      <w:r w:rsidRPr="004A5D41">
        <w:rPr>
          <w:sz w:val="26"/>
          <w:szCs w:val="26"/>
        </w:rPr>
        <w:t>child  survivor</w:t>
      </w:r>
      <w:proofErr w:type="gramEnd"/>
      <w:r w:rsidRPr="004A5D41">
        <w:rPr>
          <w:sz w:val="26"/>
          <w:szCs w:val="26"/>
        </w:rPr>
        <w:t xml:space="preserve">  impacted by VAWG.</w:t>
      </w:r>
    </w:p>
    <w:p w:rsidRPr="004A5D41" w:rsidR="00E57B6A" w:rsidRDefault="00E57B6A" w14:paraId="402109C9" w14:textId="3890DA98">
      <w:pPr>
        <w:pStyle w:val="FootnoteText"/>
        <w:rPr>
          <w:sz w:val="26"/>
          <w:szCs w:val="26"/>
        </w:rPr>
      </w:pPr>
    </w:p>
  </w:footnote>
  <w:footnote w:id="3">
    <w:p w:rsidRPr="004A5D41" w:rsidR="00192AA8" w:rsidRDefault="00192AA8" w14:paraId="74F155C6" w14:textId="525C6B68">
      <w:pPr>
        <w:pStyle w:val="FootnoteText"/>
        <w:rPr>
          <w:sz w:val="26"/>
          <w:szCs w:val="26"/>
        </w:rPr>
      </w:pPr>
      <w:r w:rsidRPr="004A5D41">
        <w:rPr>
          <w:rStyle w:val="FootnoteReference"/>
          <w:sz w:val="26"/>
          <w:szCs w:val="26"/>
        </w:rPr>
        <w:footnoteRef/>
      </w:r>
      <w:r w:rsidRPr="004A5D41">
        <w:rPr>
          <w:sz w:val="26"/>
          <w:szCs w:val="26"/>
        </w:rPr>
        <w:t xml:space="preserve"> </w:t>
      </w:r>
      <w:r w:rsidRPr="004A5D41">
        <w:rPr>
          <w:sz w:val="26"/>
          <w:szCs w:val="26"/>
          <w:highlight w:val="white"/>
        </w:rPr>
        <w:t xml:space="preserve"> </w:t>
      </w:r>
      <w:hyperlink r:id="rId2">
        <w:r w:rsidRPr="004A5D41">
          <w:rPr>
            <w:color w:val="1155CC"/>
            <w:sz w:val="26"/>
            <w:szCs w:val="26"/>
            <w:highlight w:val="white"/>
            <w:u w:val="single"/>
          </w:rPr>
          <w:t xml:space="preserve">By and </w:t>
        </w:r>
        <w:proofErr w:type="gramStart"/>
        <w:r w:rsidRPr="004A5D41">
          <w:rPr>
            <w:color w:val="1155CC"/>
            <w:sz w:val="26"/>
            <w:szCs w:val="26"/>
            <w:highlight w:val="white"/>
            <w:u w:val="single"/>
          </w:rPr>
          <w:t>For</w:t>
        </w:r>
        <w:proofErr w:type="gramEnd"/>
        <w:r w:rsidRPr="004A5D41">
          <w:rPr>
            <w:color w:val="1155CC"/>
            <w:sz w:val="26"/>
            <w:szCs w:val="26"/>
            <w:highlight w:val="white"/>
            <w:u w:val="single"/>
          </w:rPr>
          <w:t xml:space="preserve"> — </w:t>
        </w:r>
        <w:proofErr w:type="spellStart"/>
        <w:r w:rsidRPr="004A5D41">
          <w:rPr>
            <w:color w:val="1155CC"/>
            <w:sz w:val="26"/>
            <w:szCs w:val="26"/>
            <w:highlight w:val="white"/>
            <w:u w:val="single"/>
          </w:rPr>
          <w:t>Imkaan</w:t>
        </w:r>
        <w:proofErr w:type="spellEnd"/>
      </w:hyperlink>
    </w:p>
  </w:footnote>
  <w:footnote w:id="4">
    <w:p w:rsidRPr="004A5D41" w:rsidR="00B252D2" w:rsidP="00B252D2" w:rsidRDefault="00192AA8" w14:paraId="41EFA161" w14:textId="77777777">
      <w:pPr>
        <w:spacing w:line="240" w:lineRule="auto"/>
        <w:rPr>
          <w:sz w:val="26"/>
          <w:szCs w:val="26"/>
        </w:rPr>
      </w:pPr>
      <w:r w:rsidRPr="004A5D41">
        <w:rPr>
          <w:rStyle w:val="FootnoteReference"/>
          <w:sz w:val="26"/>
          <w:szCs w:val="26"/>
        </w:rPr>
        <w:footnoteRef/>
      </w:r>
      <w:r w:rsidRPr="004A5D41">
        <w:rPr>
          <w:sz w:val="26"/>
          <w:szCs w:val="26"/>
        </w:rPr>
        <w:t xml:space="preserve"> </w:t>
      </w:r>
      <w:r w:rsidRPr="004A5D41" w:rsidR="00B252D2">
        <w:rPr>
          <w:sz w:val="26"/>
          <w:szCs w:val="26"/>
        </w:rPr>
        <w:t xml:space="preserve">Various organisations (2022) </w:t>
      </w:r>
      <w:hyperlink r:id="rId3">
        <w:r w:rsidRPr="004A5D41" w:rsidR="00B252D2">
          <w:rPr>
            <w:color w:val="1155CC"/>
            <w:sz w:val="26"/>
            <w:szCs w:val="26"/>
            <w:u w:val="single"/>
          </w:rPr>
          <w:t>Statement on behalf of VAWG organisations in England and Wales on the Cost of Living Crisis</w:t>
        </w:r>
      </w:hyperlink>
    </w:p>
    <w:p w:rsidRPr="004A5D41" w:rsidR="00192AA8" w:rsidRDefault="00192AA8" w14:paraId="505FBFA4" w14:textId="210EEF5D">
      <w:pPr>
        <w:pStyle w:val="FootnoteText"/>
        <w:rPr>
          <w:sz w:val="26"/>
          <w:szCs w:val="26"/>
        </w:rPr>
      </w:pPr>
    </w:p>
  </w:footnote>
  <w:footnote w:id="5">
    <w:p w:rsidRPr="004A5D41" w:rsidR="00B252D2" w:rsidRDefault="00B252D2" w14:paraId="2F80450C" w14:textId="1757B1D5">
      <w:pPr>
        <w:pStyle w:val="FootnoteText"/>
        <w:rPr>
          <w:sz w:val="26"/>
          <w:szCs w:val="26"/>
        </w:rPr>
      </w:pPr>
      <w:r w:rsidRPr="004A5D41">
        <w:rPr>
          <w:rStyle w:val="FootnoteReference"/>
          <w:sz w:val="26"/>
          <w:szCs w:val="26"/>
        </w:rPr>
        <w:footnoteRef/>
      </w:r>
      <w:r w:rsidRPr="004A5D41">
        <w:rPr>
          <w:sz w:val="26"/>
          <w:szCs w:val="26"/>
        </w:rPr>
        <w:t xml:space="preserve"> </w:t>
      </w:r>
      <w:r w:rsidRPr="004A5D41" w:rsidR="00F009EA">
        <w:rPr>
          <w:sz w:val="26"/>
          <w:szCs w:val="26"/>
        </w:rPr>
        <w:t>End Violence Against Women Coalition (2020)</w:t>
      </w:r>
      <w:hyperlink r:id="rId4">
        <w:r w:rsidRPr="004A5D41" w:rsidR="00F009EA">
          <w:rPr>
            <w:color w:val="1155CC"/>
            <w:sz w:val="26"/>
            <w:szCs w:val="26"/>
            <w:u w:val="single"/>
          </w:rPr>
          <w:t xml:space="preserve"> Initial briefing on the COVID-19 pandemic and the duty to prevent violence against women and girls</w:t>
        </w:r>
      </w:hyperlink>
    </w:p>
  </w:footnote>
  <w:footnote w:id="6">
    <w:p w:rsidRPr="004A5D41" w:rsidR="00F009EA" w:rsidP="004A5D41" w:rsidRDefault="00F009EA" w14:paraId="678491FD" w14:textId="6FEBD4FC">
      <w:pPr>
        <w:spacing w:line="240" w:lineRule="auto"/>
        <w:rPr>
          <w:sz w:val="12"/>
          <w:szCs w:val="12"/>
        </w:rPr>
      </w:pPr>
      <w:r w:rsidRPr="004A5D41">
        <w:rPr>
          <w:rStyle w:val="FootnoteReference"/>
          <w:sz w:val="26"/>
          <w:szCs w:val="26"/>
        </w:rPr>
        <w:footnoteRef/>
      </w:r>
      <w:r w:rsidRPr="004A5D41">
        <w:rPr>
          <w:sz w:val="26"/>
          <w:szCs w:val="26"/>
        </w:rPr>
        <w:t xml:space="preserve"> </w:t>
      </w:r>
      <w:r w:rsidRPr="004A5D41" w:rsidR="004A5D41">
        <w:rPr>
          <w:sz w:val="26"/>
          <w:szCs w:val="26"/>
        </w:rPr>
        <w:t>National Police Chief’s Council (2023)</w:t>
      </w:r>
      <w:hyperlink r:id="rId5">
        <w:r w:rsidRPr="004A5D41" w:rsidR="004A5D41">
          <w:rPr>
            <w:color w:val="1155CC"/>
            <w:sz w:val="26"/>
            <w:szCs w:val="26"/>
            <w:u w:val="single"/>
          </w:rPr>
          <w:t xml:space="preserve"> Violence against women and girls strategic risk assessment</w:t>
        </w:r>
      </w:hyperlink>
    </w:p>
  </w:footnote>
  <w:footnote w:id="7">
    <w:p w:rsidRPr="000554C8" w:rsidR="00DB6427" w:rsidRDefault="00DB6427" w14:paraId="1F26E887" w14:textId="20B03AB3">
      <w:pPr>
        <w:pStyle w:val="FootnoteText"/>
        <w:rPr>
          <w:sz w:val="26"/>
          <w:szCs w:val="26"/>
        </w:rPr>
      </w:pPr>
      <w:r w:rsidRPr="000554C8">
        <w:rPr>
          <w:rStyle w:val="FootnoteReference"/>
          <w:sz w:val="26"/>
          <w:szCs w:val="26"/>
        </w:rPr>
        <w:footnoteRef/>
      </w:r>
      <w:r w:rsidRPr="000554C8">
        <w:rPr>
          <w:sz w:val="26"/>
          <w:szCs w:val="26"/>
        </w:rPr>
        <w:t xml:space="preserve"> </w:t>
      </w:r>
      <w:r w:rsidRPr="000554C8" w:rsidR="000554C8">
        <w:rPr>
          <w:sz w:val="26"/>
          <w:szCs w:val="26"/>
          <w:highlight w:val="white"/>
        </w:rPr>
        <w:t xml:space="preserve">2023, </w:t>
      </w:r>
      <w:proofErr w:type="spellStart"/>
      <w:r w:rsidRPr="000554C8" w:rsidR="000554C8">
        <w:rPr>
          <w:sz w:val="26"/>
          <w:szCs w:val="26"/>
          <w:highlight w:val="white"/>
        </w:rPr>
        <w:t>Imkaan's</w:t>
      </w:r>
      <w:proofErr w:type="spellEnd"/>
      <w:r w:rsidRPr="000554C8" w:rsidR="000554C8">
        <w:rPr>
          <w:sz w:val="26"/>
          <w:szCs w:val="26"/>
          <w:highlight w:val="white"/>
        </w:rPr>
        <w:t xml:space="preserve"> Participatory Evaluation of the Comic Relief Supporting and Sustaining Specialism Programme for the Black &amp; </w:t>
      </w:r>
      <w:proofErr w:type="spellStart"/>
      <w:r w:rsidRPr="000554C8" w:rsidR="000554C8">
        <w:rPr>
          <w:sz w:val="26"/>
          <w:szCs w:val="26"/>
          <w:highlight w:val="white"/>
        </w:rPr>
        <w:t>Minoritised</w:t>
      </w:r>
      <w:proofErr w:type="spellEnd"/>
      <w:r w:rsidRPr="000554C8" w:rsidR="000554C8">
        <w:rPr>
          <w:sz w:val="26"/>
          <w:szCs w:val="26"/>
          <w:highlight w:val="white"/>
        </w:rPr>
        <w:t xml:space="preserve"> women-led by and for sector  </w:t>
      </w:r>
    </w:p>
  </w:footnote>
  <w:footnote w:id="8">
    <w:p w:rsidRPr="008773A0" w:rsidR="00090454" w:rsidRDefault="00090454" w14:paraId="077E35C7" w14:textId="1982795D">
      <w:pPr>
        <w:pStyle w:val="FootnoteText"/>
        <w:rPr>
          <w:sz w:val="26"/>
          <w:szCs w:val="26"/>
        </w:rPr>
      </w:pPr>
      <w:r w:rsidRPr="008773A0">
        <w:rPr>
          <w:rStyle w:val="FootnoteReference"/>
          <w:sz w:val="26"/>
          <w:szCs w:val="26"/>
        </w:rPr>
        <w:footnoteRef/>
      </w:r>
      <w:r w:rsidRPr="008773A0">
        <w:rPr>
          <w:sz w:val="26"/>
          <w:szCs w:val="26"/>
        </w:rPr>
        <w:t xml:space="preserve"> </w:t>
      </w:r>
      <w:r w:rsidRPr="008773A0" w:rsidR="008773A0">
        <w:rPr>
          <w:sz w:val="26"/>
          <w:szCs w:val="26"/>
        </w:rPr>
        <w:t xml:space="preserve">Home Office (2022). </w:t>
      </w:r>
      <w:hyperlink r:id="rId6">
        <w:r w:rsidRPr="008773A0" w:rsidR="008773A0">
          <w:rPr>
            <w:color w:val="1155CC"/>
            <w:sz w:val="26"/>
            <w:szCs w:val="26"/>
            <w:u w:val="single"/>
          </w:rPr>
          <w:t>Violence Against Women and Girls National Statement of Expectation</w:t>
        </w:r>
      </w:hyperlink>
    </w:p>
  </w:footnote>
  <w:footnote w:id="9">
    <w:p w:rsidR="005B0BAF" w:rsidRDefault="005B0BAF" w14:paraId="78F2DBAB" w14:textId="03EAF240">
      <w:pPr>
        <w:pStyle w:val="FootnoteText"/>
        <w:rPr>
          <w:rStyle w:val="Hyperlink"/>
          <w:sz w:val="26"/>
          <w:szCs w:val="26"/>
        </w:rPr>
      </w:pPr>
      <w:r w:rsidRPr="00E72169">
        <w:rPr>
          <w:rStyle w:val="FootnoteReference"/>
          <w:sz w:val="26"/>
          <w:szCs w:val="26"/>
        </w:rPr>
        <w:footnoteRef/>
      </w:r>
      <w:r w:rsidRPr="00E72169">
        <w:rPr>
          <w:sz w:val="26"/>
          <w:szCs w:val="26"/>
        </w:rPr>
        <w:t xml:space="preserve"> </w:t>
      </w:r>
      <w:r w:rsidRPr="00E72169" w:rsidR="002F2C9B">
        <w:rPr>
          <w:sz w:val="26"/>
          <w:szCs w:val="26"/>
          <w:highlight w:val="white"/>
        </w:rPr>
        <w:t>Rape Crisis England &amp; Wales, Centre for Women’s Justice, End Violence Against Women Coalition (May 2023) Independent Legal Advice and Representation for Survivors of Sexual Violence and Abuse</w:t>
      </w:r>
      <w:r w:rsidRPr="00E72169" w:rsidR="002F2C9B">
        <w:rPr>
          <w:color w:val="E4577E"/>
          <w:sz w:val="26"/>
          <w:szCs w:val="26"/>
          <w:highlight w:val="white"/>
        </w:rPr>
        <w:t xml:space="preserve">: </w:t>
      </w:r>
      <w:hyperlink w:history="1" r:id="rId7">
        <w:r w:rsidRPr="00E72169" w:rsidR="002F2C9B">
          <w:rPr>
            <w:rStyle w:val="Hyperlink"/>
            <w:sz w:val="26"/>
            <w:szCs w:val="26"/>
            <w:highlight w:val="white"/>
          </w:rPr>
          <w:t>https://www.endviolenceagainstwomen.org.uk/wp-content/ uploads/2023/05/11th-May-final-ILAR-briefing.pdf</w:t>
        </w:r>
      </w:hyperlink>
    </w:p>
    <w:p w:rsidRPr="00E72169" w:rsidR="00E72169" w:rsidRDefault="00E72169" w14:paraId="1832F810" w14:textId="77777777">
      <w:pPr>
        <w:pStyle w:val="FootnoteText"/>
        <w:rPr>
          <w:sz w:val="26"/>
          <w:szCs w:val="26"/>
        </w:rPr>
      </w:pPr>
    </w:p>
  </w:footnote>
  <w:footnote w:id="10">
    <w:p w:rsidR="002F2C9B" w:rsidRDefault="002F2C9B" w14:paraId="0AA18826" w14:textId="0E800A2B">
      <w:pPr>
        <w:pStyle w:val="FootnoteText"/>
        <w:rPr>
          <w:rStyle w:val="Hyperlink"/>
          <w:sz w:val="26"/>
          <w:szCs w:val="26"/>
        </w:rPr>
      </w:pPr>
      <w:r w:rsidRPr="00E72169">
        <w:rPr>
          <w:rStyle w:val="FootnoteReference"/>
          <w:sz w:val="26"/>
          <w:szCs w:val="26"/>
        </w:rPr>
        <w:footnoteRef/>
      </w:r>
      <w:r w:rsidRPr="00E72169">
        <w:rPr>
          <w:sz w:val="26"/>
          <w:szCs w:val="26"/>
        </w:rPr>
        <w:t xml:space="preserve"> </w:t>
      </w:r>
      <w:r w:rsidRPr="00E72169" w:rsidR="008A6D6C">
        <w:rPr>
          <w:sz w:val="26"/>
          <w:szCs w:val="26"/>
        </w:rPr>
        <w:t xml:space="preserve">Rape Crisis England &amp; Wales, Centre for Women’s Justice, End Violence Against Women Coalition (2023) Keep Counselling Confidential: The Problems and Solutions with the Disclosure of Counselling Notes: </w:t>
      </w:r>
      <w:hyperlink w:history="1" r:id="rId8">
        <w:r w:rsidRPr="00E72169" w:rsidR="008A6D6C">
          <w:rPr>
            <w:rStyle w:val="Hyperlink"/>
            <w:sz w:val="26"/>
            <w:szCs w:val="26"/>
          </w:rPr>
          <w:t>https://www.endviolenceagainstwomen.org.uk/wp-content/uploads/2023/05/Keep-Counselling-Confidential-FINAL-10th-May-23.pdf</w:t>
        </w:r>
      </w:hyperlink>
    </w:p>
    <w:p w:rsidRPr="00E72169" w:rsidR="00E72169" w:rsidRDefault="00E72169" w14:paraId="2BA759E0" w14:textId="77777777">
      <w:pPr>
        <w:pStyle w:val="FootnoteText"/>
        <w:rPr>
          <w:sz w:val="26"/>
          <w:szCs w:val="26"/>
        </w:rPr>
      </w:pPr>
    </w:p>
  </w:footnote>
  <w:footnote w:id="11">
    <w:p w:rsidRPr="00E72169" w:rsidR="005B107A" w:rsidP="005B107A" w:rsidRDefault="008A6D6C" w14:paraId="70B4D5A9" w14:textId="77777777">
      <w:pPr>
        <w:spacing w:line="240" w:lineRule="auto"/>
        <w:rPr>
          <w:sz w:val="26"/>
          <w:szCs w:val="26"/>
        </w:rPr>
      </w:pPr>
      <w:r w:rsidRPr="00E72169">
        <w:rPr>
          <w:rStyle w:val="FootnoteReference"/>
          <w:sz w:val="26"/>
          <w:szCs w:val="26"/>
        </w:rPr>
        <w:footnoteRef/>
      </w:r>
      <w:r w:rsidRPr="00E72169">
        <w:rPr>
          <w:sz w:val="26"/>
          <w:szCs w:val="26"/>
        </w:rPr>
        <w:t xml:space="preserve"> </w:t>
      </w:r>
      <w:r w:rsidRPr="00E72169" w:rsidR="005B107A">
        <w:rPr>
          <w:sz w:val="26"/>
          <w:szCs w:val="26"/>
        </w:rPr>
        <w:t xml:space="preserve">Rape Crisis England &amp; Wales (2023) </w:t>
      </w:r>
      <w:hyperlink r:id="rId9">
        <w:r w:rsidRPr="00E72169" w:rsidR="005B107A">
          <w:rPr>
            <w:sz w:val="26"/>
            <w:szCs w:val="26"/>
          </w:rPr>
          <w:t>Breaking Point: the re-traumatisation of rape and sexual abuse survivors in the Crown Court backlog.</w:t>
        </w:r>
      </w:hyperlink>
    </w:p>
    <w:p w:rsidRPr="00E72169" w:rsidR="008A6D6C" w:rsidRDefault="008A6D6C" w14:paraId="1252CADB" w14:textId="6475B7D1">
      <w:pPr>
        <w:pStyle w:val="FootnoteText"/>
        <w:rPr>
          <w:sz w:val="26"/>
          <w:szCs w:val="26"/>
        </w:rPr>
      </w:pPr>
    </w:p>
  </w:footnote>
  <w:footnote w:id="12">
    <w:p w:rsidRPr="00E72169" w:rsidR="00AF30D5" w:rsidP="00AF30D5" w:rsidRDefault="005B107A" w14:paraId="25EC467C" w14:textId="77777777">
      <w:pPr>
        <w:spacing w:line="240" w:lineRule="auto"/>
        <w:rPr>
          <w:sz w:val="26"/>
          <w:szCs w:val="26"/>
        </w:rPr>
      </w:pPr>
      <w:r w:rsidRPr="00E72169">
        <w:rPr>
          <w:rStyle w:val="FootnoteReference"/>
          <w:sz w:val="26"/>
          <w:szCs w:val="26"/>
        </w:rPr>
        <w:footnoteRef/>
      </w:r>
      <w:r w:rsidRPr="00E72169">
        <w:rPr>
          <w:sz w:val="26"/>
          <w:szCs w:val="26"/>
        </w:rPr>
        <w:t xml:space="preserve"> </w:t>
      </w:r>
      <w:hyperlink w:history="1" r:id="rId10">
        <w:r w:rsidRPr="00E72169" w:rsidR="00AF30D5">
          <w:rPr>
            <w:rStyle w:val="Hyperlink"/>
            <w:sz w:val="26"/>
            <w:szCs w:val="26"/>
          </w:rPr>
          <w:t xml:space="preserve">https://www.endviolenceagainstwomen.org.uk/wp-content/uploads/2023/06/RapeReviewReport-160623FINAL.pdf.  </w:t>
        </w:r>
      </w:hyperlink>
      <w:r w:rsidRPr="00E72169" w:rsidR="00AF30D5">
        <w:rPr>
          <w:sz w:val="26"/>
          <w:szCs w:val="26"/>
        </w:rPr>
        <w:t xml:space="preserve"> </w:t>
      </w:r>
    </w:p>
    <w:p w:rsidRPr="00E72169" w:rsidR="005B107A" w:rsidRDefault="005B107A" w14:paraId="1D7EA4D1" w14:textId="7458B732">
      <w:pPr>
        <w:pStyle w:val="FootnoteText"/>
        <w:rPr>
          <w:sz w:val="26"/>
          <w:szCs w:val="26"/>
        </w:rPr>
      </w:pPr>
    </w:p>
  </w:footnote>
  <w:footnote w:id="13">
    <w:p w:rsidR="00AF30D5" w:rsidRDefault="00AF30D5" w14:paraId="6B32D017" w14:textId="72941BD0">
      <w:pPr>
        <w:pStyle w:val="FootnoteText"/>
      </w:pPr>
      <w:r w:rsidRPr="00E72169">
        <w:rPr>
          <w:rStyle w:val="FootnoteReference"/>
          <w:sz w:val="26"/>
          <w:szCs w:val="26"/>
        </w:rPr>
        <w:footnoteRef/>
      </w:r>
      <w:r w:rsidRPr="00E72169">
        <w:rPr>
          <w:sz w:val="26"/>
          <w:szCs w:val="26"/>
        </w:rPr>
        <w:t xml:space="preserve"> </w:t>
      </w:r>
      <w:r w:rsidRPr="00E72169" w:rsidR="00E72169">
        <w:rPr>
          <w:rStyle w:val="normaltextrun"/>
          <w:color w:val="000000"/>
          <w:sz w:val="26"/>
          <w:szCs w:val="26"/>
          <w:shd w:val="clear" w:color="auto" w:fill="FFFFFF"/>
        </w:rPr>
        <w:t>Mahmod, B and Siddiqui, H (2022) No Safe Place: Murdered by Our Father </w:t>
      </w:r>
      <w:hyperlink w:tgtFrame="_blank" w:history="1" r:id="rId11">
        <w:r w:rsidRPr="00E72169" w:rsidR="00E72169">
          <w:rPr>
            <w:rStyle w:val="normaltextrun"/>
            <w:color w:val="0000FF"/>
            <w:sz w:val="26"/>
            <w:szCs w:val="26"/>
            <w:u w:val="single"/>
            <w:shd w:val="clear" w:color="auto" w:fill="FFFFFF"/>
          </w:rPr>
          <w:t>https://www.amazon.co.uk/No-Safe-Place-Murdered-Father/dp/1913543056</w:t>
        </w:r>
      </w:hyperlink>
      <w:r w:rsidR="00E72169">
        <w:rPr>
          <w:rStyle w:val="normaltextrun"/>
          <w:color w:val="000000"/>
          <w:sz w:val="12"/>
          <w:szCs w:val="12"/>
          <w:shd w:val="clear" w:color="auto" w:fill="FFFFFF"/>
        </w:rPr>
        <w:t> </w:t>
      </w:r>
      <w:r w:rsidR="00E72169">
        <w:rPr>
          <w:rStyle w:val="eop"/>
          <w:color w:val="000000"/>
          <w:sz w:val="12"/>
          <w:szCs w:val="12"/>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6C3" w:rsidP="00B546C3" w:rsidRDefault="00B546C3" w14:paraId="47C12C21" w14:textId="0D51B6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B38"/>
    <w:multiLevelType w:val="hybridMultilevel"/>
    <w:tmpl w:val="C2C46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7430E"/>
    <w:multiLevelType w:val="hybridMultilevel"/>
    <w:tmpl w:val="78887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5822A4"/>
    <w:multiLevelType w:val="hybridMultilevel"/>
    <w:tmpl w:val="53A8E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0802EB"/>
    <w:multiLevelType w:val="hybridMultilevel"/>
    <w:tmpl w:val="1FBAA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5D5E56"/>
    <w:multiLevelType w:val="hybridMultilevel"/>
    <w:tmpl w:val="B1F0E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619CF"/>
    <w:multiLevelType w:val="hybridMultilevel"/>
    <w:tmpl w:val="A24CB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BA0952"/>
    <w:multiLevelType w:val="hybridMultilevel"/>
    <w:tmpl w:val="6CFC8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A6235E"/>
    <w:multiLevelType w:val="hybridMultilevel"/>
    <w:tmpl w:val="050A9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62212C"/>
    <w:multiLevelType w:val="hybridMultilevel"/>
    <w:tmpl w:val="78B2E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0382004">
    <w:abstractNumId w:val="8"/>
  </w:num>
  <w:num w:numId="2" w16cid:durableId="1771511650">
    <w:abstractNumId w:val="5"/>
  </w:num>
  <w:num w:numId="3" w16cid:durableId="944772594">
    <w:abstractNumId w:val="6"/>
  </w:num>
  <w:num w:numId="4" w16cid:durableId="667951333">
    <w:abstractNumId w:val="4"/>
  </w:num>
  <w:num w:numId="5" w16cid:durableId="433787798">
    <w:abstractNumId w:val="2"/>
  </w:num>
  <w:num w:numId="6" w16cid:durableId="2124615877">
    <w:abstractNumId w:val="1"/>
  </w:num>
  <w:num w:numId="7" w16cid:durableId="1576352288">
    <w:abstractNumId w:val="3"/>
  </w:num>
  <w:num w:numId="8" w16cid:durableId="2067797239">
    <w:abstractNumId w:val="0"/>
  </w:num>
  <w:num w:numId="9" w16cid:durableId="592974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B0"/>
    <w:rsid w:val="00003FA0"/>
    <w:rsid w:val="00012BA8"/>
    <w:rsid w:val="00014E69"/>
    <w:rsid w:val="00015B21"/>
    <w:rsid w:val="000213AF"/>
    <w:rsid w:val="00037A6E"/>
    <w:rsid w:val="0005037D"/>
    <w:rsid w:val="0005438C"/>
    <w:rsid w:val="000554C8"/>
    <w:rsid w:val="000630C6"/>
    <w:rsid w:val="00066221"/>
    <w:rsid w:val="00085A4E"/>
    <w:rsid w:val="00090454"/>
    <w:rsid w:val="000907A3"/>
    <w:rsid w:val="000926B7"/>
    <w:rsid w:val="000D005D"/>
    <w:rsid w:val="000D608C"/>
    <w:rsid w:val="000D763A"/>
    <w:rsid w:val="000E002C"/>
    <w:rsid w:val="00102797"/>
    <w:rsid w:val="00104A3D"/>
    <w:rsid w:val="00104EB6"/>
    <w:rsid w:val="00107FD6"/>
    <w:rsid w:val="00114DB5"/>
    <w:rsid w:val="00122606"/>
    <w:rsid w:val="00122EF7"/>
    <w:rsid w:val="00124D67"/>
    <w:rsid w:val="00133A3F"/>
    <w:rsid w:val="001365AA"/>
    <w:rsid w:val="00157745"/>
    <w:rsid w:val="0016710F"/>
    <w:rsid w:val="001703EA"/>
    <w:rsid w:val="00191F6E"/>
    <w:rsid w:val="001927DA"/>
    <w:rsid w:val="00192AA8"/>
    <w:rsid w:val="00193AE8"/>
    <w:rsid w:val="001A54B7"/>
    <w:rsid w:val="001A67C0"/>
    <w:rsid w:val="001B6700"/>
    <w:rsid w:val="001D0FCA"/>
    <w:rsid w:val="001D1554"/>
    <w:rsid w:val="001D56A3"/>
    <w:rsid w:val="001E131C"/>
    <w:rsid w:val="001F0F14"/>
    <w:rsid w:val="001F1A4A"/>
    <w:rsid w:val="00214078"/>
    <w:rsid w:val="00226B15"/>
    <w:rsid w:val="00227C3F"/>
    <w:rsid w:val="002329E0"/>
    <w:rsid w:val="00240B03"/>
    <w:rsid w:val="00241BA3"/>
    <w:rsid w:val="002442B2"/>
    <w:rsid w:val="002473EE"/>
    <w:rsid w:val="0025175F"/>
    <w:rsid w:val="002543E9"/>
    <w:rsid w:val="002577C9"/>
    <w:rsid w:val="002649A4"/>
    <w:rsid w:val="00270FD1"/>
    <w:rsid w:val="00292066"/>
    <w:rsid w:val="00295076"/>
    <w:rsid w:val="002A375C"/>
    <w:rsid w:val="002A648E"/>
    <w:rsid w:val="002B5B58"/>
    <w:rsid w:val="002C2231"/>
    <w:rsid w:val="002C7970"/>
    <w:rsid w:val="002D2045"/>
    <w:rsid w:val="002F2C9B"/>
    <w:rsid w:val="002F642D"/>
    <w:rsid w:val="00303567"/>
    <w:rsid w:val="00320420"/>
    <w:rsid w:val="00336E4F"/>
    <w:rsid w:val="00341E7C"/>
    <w:rsid w:val="00345687"/>
    <w:rsid w:val="003458D9"/>
    <w:rsid w:val="00350CBE"/>
    <w:rsid w:val="00351B4B"/>
    <w:rsid w:val="00360381"/>
    <w:rsid w:val="00365F4C"/>
    <w:rsid w:val="003A1AA0"/>
    <w:rsid w:val="003A2B07"/>
    <w:rsid w:val="003B59B0"/>
    <w:rsid w:val="003C5627"/>
    <w:rsid w:val="003C5A3D"/>
    <w:rsid w:val="003F0748"/>
    <w:rsid w:val="003F3045"/>
    <w:rsid w:val="003F6DCD"/>
    <w:rsid w:val="004127BD"/>
    <w:rsid w:val="00413870"/>
    <w:rsid w:val="00416176"/>
    <w:rsid w:val="00421B0B"/>
    <w:rsid w:val="0042257D"/>
    <w:rsid w:val="00431A1A"/>
    <w:rsid w:val="00434CF2"/>
    <w:rsid w:val="00446A2A"/>
    <w:rsid w:val="004636F7"/>
    <w:rsid w:val="00466A19"/>
    <w:rsid w:val="00470146"/>
    <w:rsid w:val="00472DB9"/>
    <w:rsid w:val="00473F44"/>
    <w:rsid w:val="004772F7"/>
    <w:rsid w:val="00477BC5"/>
    <w:rsid w:val="0048441D"/>
    <w:rsid w:val="00490261"/>
    <w:rsid w:val="0049320F"/>
    <w:rsid w:val="004A5D41"/>
    <w:rsid w:val="004B04B9"/>
    <w:rsid w:val="004B71F1"/>
    <w:rsid w:val="004C1D20"/>
    <w:rsid w:val="004C7BE3"/>
    <w:rsid w:val="004D5501"/>
    <w:rsid w:val="004E2C01"/>
    <w:rsid w:val="004E5226"/>
    <w:rsid w:val="0050610E"/>
    <w:rsid w:val="005074AE"/>
    <w:rsid w:val="00507EA7"/>
    <w:rsid w:val="00524DFE"/>
    <w:rsid w:val="00530CD1"/>
    <w:rsid w:val="005313C4"/>
    <w:rsid w:val="005348D4"/>
    <w:rsid w:val="0053529A"/>
    <w:rsid w:val="00556720"/>
    <w:rsid w:val="00561E76"/>
    <w:rsid w:val="00562D6F"/>
    <w:rsid w:val="00566EDB"/>
    <w:rsid w:val="00567CB2"/>
    <w:rsid w:val="00581592"/>
    <w:rsid w:val="00583172"/>
    <w:rsid w:val="005831F1"/>
    <w:rsid w:val="005A4125"/>
    <w:rsid w:val="005B0BAF"/>
    <w:rsid w:val="005B107A"/>
    <w:rsid w:val="005B2FDF"/>
    <w:rsid w:val="005B5829"/>
    <w:rsid w:val="005C6375"/>
    <w:rsid w:val="005C73CD"/>
    <w:rsid w:val="005E176D"/>
    <w:rsid w:val="005E2B5B"/>
    <w:rsid w:val="005E48E9"/>
    <w:rsid w:val="005E542E"/>
    <w:rsid w:val="005F42D4"/>
    <w:rsid w:val="005F79E9"/>
    <w:rsid w:val="00601E7B"/>
    <w:rsid w:val="00602D08"/>
    <w:rsid w:val="00625000"/>
    <w:rsid w:val="00630488"/>
    <w:rsid w:val="00634D85"/>
    <w:rsid w:val="0063660A"/>
    <w:rsid w:val="006468FC"/>
    <w:rsid w:val="00647941"/>
    <w:rsid w:val="00647F32"/>
    <w:rsid w:val="0065736C"/>
    <w:rsid w:val="00667EA3"/>
    <w:rsid w:val="00686D9C"/>
    <w:rsid w:val="00692F4C"/>
    <w:rsid w:val="006A4DD8"/>
    <w:rsid w:val="006B0F1E"/>
    <w:rsid w:val="006B1A30"/>
    <w:rsid w:val="006D4805"/>
    <w:rsid w:val="006D5AB6"/>
    <w:rsid w:val="006D6193"/>
    <w:rsid w:val="006E0609"/>
    <w:rsid w:val="006E1E68"/>
    <w:rsid w:val="006E2A56"/>
    <w:rsid w:val="006E71D5"/>
    <w:rsid w:val="006F2A74"/>
    <w:rsid w:val="006F4657"/>
    <w:rsid w:val="006F5960"/>
    <w:rsid w:val="006F7CDA"/>
    <w:rsid w:val="00717705"/>
    <w:rsid w:val="007268B0"/>
    <w:rsid w:val="00727441"/>
    <w:rsid w:val="00730153"/>
    <w:rsid w:val="00731283"/>
    <w:rsid w:val="00732B79"/>
    <w:rsid w:val="00733301"/>
    <w:rsid w:val="00735841"/>
    <w:rsid w:val="0074508E"/>
    <w:rsid w:val="00751B95"/>
    <w:rsid w:val="0075422C"/>
    <w:rsid w:val="00755B6F"/>
    <w:rsid w:val="0076189E"/>
    <w:rsid w:val="00774C57"/>
    <w:rsid w:val="00792C01"/>
    <w:rsid w:val="007935B0"/>
    <w:rsid w:val="007A4564"/>
    <w:rsid w:val="007A4DA7"/>
    <w:rsid w:val="007A511C"/>
    <w:rsid w:val="007A7BFF"/>
    <w:rsid w:val="007C60AE"/>
    <w:rsid w:val="007D4944"/>
    <w:rsid w:val="007F0A80"/>
    <w:rsid w:val="007F4EDB"/>
    <w:rsid w:val="00801FCB"/>
    <w:rsid w:val="00802B99"/>
    <w:rsid w:val="008048C1"/>
    <w:rsid w:val="0080526A"/>
    <w:rsid w:val="008204CE"/>
    <w:rsid w:val="0082090E"/>
    <w:rsid w:val="00820F9F"/>
    <w:rsid w:val="00830B52"/>
    <w:rsid w:val="0083483C"/>
    <w:rsid w:val="00835F65"/>
    <w:rsid w:val="008439B2"/>
    <w:rsid w:val="00866357"/>
    <w:rsid w:val="00873D51"/>
    <w:rsid w:val="008770F0"/>
    <w:rsid w:val="008773A0"/>
    <w:rsid w:val="00877CB2"/>
    <w:rsid w:val="00884AC3"/>
    <w:rsid w:val="00884D77"/>
    <w:rsid w:val="00885E9A"/>
    <w:rsid w:val="008878F7"/>
    <w:rsid w:val="008938DD"/>
    <w:rsid w:val="008941B5"/>
    <w:rsid w:val="008A605E"/>
    <w:rsid w:val="008A6D6C"/>
    <w:rsid w:val="008B7355"/>
    <w:rsid w:val="008B73CE"/>
    <w:rsid w:val="008C1B12"/>
    <w:rsid w:val="008C43D1"/>
    <w:rsid w:val="008C5C75"/>
    <w:rsid w:val="008D4E17"/>
    <w:rsid w:val="008D5B6E"/>
    <w:rsid w:val="008E0323"/>
    <w:rsid w:val="008E4FEA"/>
    <w:rsid w:val="008E76EB"/>
    <w:rsid w:val="00900ED3"/>
    <w:rsid w:val="00902CF9"/>
    <w:rsid w:val="009066ED"/>
    <w:rsid w:val="00924D06"/>
    <w:rsid w:val="0092755C"/>
    <w:rsid w:val="009302D0"/>
    <w:rsid w:val="009309B4"/>
    <w:rsid w:val="00941BB0"/>
    <w:rsid w:val="009471CB"/>
    <w:rsid w:val="009478F9"/>
    <w:rsid w:val="00950857"/>
    <w:rsid w:val="00961188"/>
    <w:rsid w:val="009747CF"/>
    <w:rsid w:val="00974F62"/>
    <w:rsid w:val="009750E4"/>
    <w:rsid w:val="0097689F"/>
    <w:rsid w:val="00980F31"/>
    <w:rsid w:val="009959B2"/>
    <w:rsid w:val="009A1AEC"/>
    <w:rsid w:val="009A2589"/>
    <w:rsid w:val="009A27B9"/>
    <w:rsid w:val="009A410A"/>
    <w:rsid w:val="009A5E5B"/>
    <w:rsid w:val="009B4A14"/>
    <w:rsid w:val="009B534D"/>
    <w:rsid w:val="009F2084"/>
    <w:rsid w:val="009F384F"/>
    <w:rsid w:val="009F7B06"/>
    <w:rsid w:val="00A048DD"/>
    <w:rsid w:val="00A16DCE"/>
    <w:rsid w:val="00A30A7B"/>
    <w:rsid w:val="00A32D48"/>
    <w:rsid w:val="00A3319E"/>
    <w:rsid w:val="00A3550A"/>
    <w:rsid w:val="00A37C4E"/>
    <w:rsid w:val="00A421F9"/>
    <w:rsid w:val="00A5014B"/>
    <w:rsid w:val="00A71F4F"/>
    <w:rsid w:val="00A90959"/>
    <w:rsid w:val="00AA448F"/>
    <w:rsid w:val="00AA4F1E"/>
    <w:rsid w:val="00AB099F"/>
    <w:rsid w:val="00AC24AF"/>
    <w:rsid w:val="00AD4B84"/>
    <w:rsid w:val="00AD6F53"/>
    <w:rsid w:val="00AE56D3"/>
    <w:rsid w:val="00AE7F19"/>
    <w:rsid w:val="00AF01F9"/>
    <w:rsid w:val="00AF30D5"/>
    <w:rsid w:val="00AF4033"/>
    <w:rsid w:val="00B13FDE"/>
    <w:rsid w:val="00B148DD"/>
    <w:rsid w:val="00B252D2"/>
    <w:rsid w:val="00B33878"/>
    <w:rsid w:val="00B508E5"/>
    <w:rsid w:val="00B51A10"/>
    <w:rsid w:val="00B546C3"/>
    <w:rsid w:val="00B56232"/>
    <w:rsid w:val="00B62CB2"/>
    <w:rsid w:val="00B64A07"/>
    <w:rsid w:val="00B70420"/>
    <w:rsid w:val="00B7051A"/>
    <w:rsid w:val="00B7281F"/>
    <w:rsid w:val="00B85FD6"/>
    <w:rsid w:val="00B925C1"/>
    <w:rsid w:val="00B9601F"/>
    <w:rsid w:val="00B97FBA"/>
    <w:rsid w:val="00BA143B"/>
    <w:rsid w:val="00BA7FDB"/>
    <w:rsid w:val="00BB179F"/>
    <w:rsid w:val="00BC0F46"/>
    <w:rsid w:val="00BD2001"/>
    <w:rsid w:val="00BD5437"/>
    <w:rsid w:val="00BE0F1F"/>
    <w:rsid w:val="00BF0E7E"/>
    <w:rsid w:val="00BF6F75"/>
    <w:rsid w:val="00C03E14"/>
    <w:rsid w:val="00C05126"/>
    <w:rsid w:val="00C112E1"/>
    <w:rsid w:val="00C13BE5"/>
    <w:rsid w:val="00C22104"/>
    <w:rsid w:val="00C27433"/>
    <w:rsid w:val="00C34D4A"/>
    <w:rsid w:val="00C36612"/>
    <w:rsid w:val="00C638D4"/>
    <w:rsid w:val="00C63CB0"/>
    <w:rsid w:val="00C70627"/>
    <w:rsid w:val="00C70CC7"/>
    <w:rsid w:val="00C75E0F"/>
    <w:rsid w:val="00C763E5"/>
    <w:rsid w:val="00C76C57"/>
    <w:rsid w:val="00C9327C"/>
    <w:rsid w:val="00CB0E7D"/>
    <w:rsid w:val="00CB16D0"/>
    <w:rsid w:val="00CC4B6B"/>
    <w:rsid w:val="00D06A54"/>
    <w:rsid w:val="00D14141"/>
    <w:rsid w:val="00D25C79"/>
    <w:rsid w:val="00D35387"/>
    <w:rsid w:val="00D51248"/>
    <w:rsid w:val="00D54C5C"/>
    <w:rsid w:val="00D602EA"/>
    <w:rsid w:val="00D66FA9"/>
    <w:rsid w:val="00D719BC"/>
    <w:rsid w:val="00D80953"/>
    <w:rsid w:val="00D827A2"/>
    <w:rsid w:val="00D86737"/>
    <w:rsid w:val="00D867CC"/>
    <w:rsid w:val="00D879E2"/>
    <w:rsid w:val="00DA013E"/>
    <w:rsid w:val="00DB6427"/>
    <w:rsid w:val="00DB74DB"/>
    <w:rsid w:val="00DC1112"/>
    <w:rsid w:val="00DC2A33"/>
    <w:rsid w:val="00DC3784"/>
    <w:rsid w:val="00DC3DF9"/>
    <w:rsid w:val="00DC3E4C"/>
    <w:rsid w:val="00DD1C34"/>
    <w:rsid w:val="00DD43D5"/>
    <w:rsid w:val="00DE17EB"/>
    <w:rsid w:val="00DE4AB3"/>
    <w:rsid w:val="00DF4685"/>
    <w:rsid w:val="00E04BFC"/>
    <w:rsid w:val="00E2541A"/>
    <w:rsid w:val="00E25DEF"/>
    <w:rsid w:val="00E26A4D"/>
    <w:rsid w:val="00E46250"/>
    <w:rsid w:val="00E57B6A"/>
    <w:rsid w:val="00E621E3"/>
    <w:rsid w:val="00E65448"/>
    <w:rsid w:val="00E673FC"/>
    <w:rsid w:val="00E71A26"/>
    <w:rsid w:val="00E72169"/>
    <w:rsid w:val="00E76106"/>
    <w:rsid w:val="00E80086"/>
    <w:rsid w:val="00E90027"/>
    <w:rsid w:val="00E9507B"/>
    <w:rsid w:val="00E966F9"/>
    <w:rsid w:val="00E97712"/>
    <w:rsid w:val="00E97AEE"/>
    <w:rsid w:val="00EB33C7"/>
    <w:rsid w:val="00EB5B94"/>
    <w:rsid w:val="00EB6EBC"/>
    <w:rsid w:val="00EB739C"/>
    <w:rsid w:val="00EC3A2B"/>
    <w:rsid w:val="00ED477B"/>
    <w:rsid w:val="00EE5E6B"/>
    <w:rsid w:val="00EF440B"/>
    <w:rsid w:val="00F009EA"/>
    <w:rsid w:val="00F00DAF"/>
    <w:rsid w:val="00F017B1"/>
    <w:rsid w:val="00F01903"/>
    <w:rsid w:val="00F1313E"/>
    <w:rsid w:val="00F21219"/>
    <w:rsid w:val="00F3735B"/>
    <w:rsid w:val="00F44907"/>
    <w:rsid w:val="00F54F23"/>
    <w:rsid w:val="00F76A96"/>
    <w:rsid w:val="00F77BB5"/>
    <w:rsid w:val="00F97A89"/>
    <w:rsid w:val="00FB3F5F"/>
    <w:rsid w:val="00FC4D6F"/>
    <w:rsid w:val="00FD2FEC"/>
    <w:rsid w:val="00FD41C8"/>
    <w:rsid w:val="00FE1024"/>
    <w:rsid w:val="00FE790B"/>
    <w:rsid w:val="00FE7B33"/>
    <w:rsid w:val="00FF0B90"/>
    <w:rsid w:val="00FF355C"/>
    <w:rsid w:val="00FF5F49"/>
    <w:rsid w:val="00FF6FE6"/>
    <w:rsid w:val="04523630"/>
    <w:rsid w:val="051C2ED7"/>
    <w:rsid w:val="06F53B72"/>
    <w:rsid w:val="0AA2BFEF"/>
    <w:rsid w:val="13BEB4E0"/>
    <w:rsid w:val="157C6132"/>
    <w:rsid w:val="17C1E5F5"/>
    <w:rsid w:val="221DE73A"/>
    <w:rsid w:val="2379E187"/>
    <w:rsid w:val="2ABE60CC"/>
    <w:rsid w:val="2C43E628"/>
    <w:rsid w:val="3085F0CB"/>
    <w:rsid w:val="32C6B02A"/>
    <w:rsid w:val="46093990"/>
    <w:rsid w:val="4EFA2131"/>
    <w:rsid w:val="4F3CF296"/>
    <w:rsid w:val="557E1824"/>
    <w:rsid w:val="5FE7E87C"/>
    <w:rsid w:val="6292A4A8"/>
    <w:rsid w:val="6334FAAC"/>
    <w:rsid w:val="657E1539"/>
    <w:rsid w:val="65E6DD09"/>
    <w:rsid w:val="6BE5E875"/>
    <w:rsid w:val="6CC7118D"/>
    <w:rsid w:val="6CDDAD46"/>
    <w:rsid w:val="6D0BC711"/>
    <w:rsid w:val="71352AB1"/>
    <w:rsid w:val="72D0FB12"/>
    <w:rsid w:val="73F0BE6D"/>
    <w:rsid w:val="74CED3CA"/>
    <w:rsid w:val="779F0551"/>
    <w:rsid w:val="7A36D132"/>
    <w:rsid w:val="7B4BA388"/>
    <w:rsid w:val="7D5E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D5F56"/>
  <w15:chartTrackingRefBased/>
  <w15:docId w15:val="{6E58B228-22F2-4EB9-8C04-6BFBFC69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68B0"/>
    <w:pPr>
      <w:spacing w:line="360" w:lineRule="auto"/>
    </w:pPr>
    <w:rPr>
      <w:sz w:val="28"/>
    </w:rPr>
  </w:style>
  <w:style w:type="paragraph" w:styleId="Heading1">
    <w:name w:val="heading 1"/>
    <w:basedOn w:val="Normal"/>
    <w:next w:val="Normal"/>
    <w:link w:val="Heading1Char"/>
    <w:uiPriority w:val="9"/>
    <w:qFormat/>
    <w:rsid w:val="007268B0"/>
    <w:pPr>
      <w:keepNext/>
      <w:keepLines/>
      <w:spacing w:before="240" w:after="0"/>
      <w:outlineLvl w:val="0"/>
    </w:pPr>
    <w:rPr>
      <w:rFonts w:asciiTheme="majorHAnsi" w:hAnsiTheme="majorHAnsi" w:eastAsiaTheme="majorEastAsia" w:cstheme="majorBidi"/>
      <w:color w:val="880050" w:themeColor="accent1" w:themeShade="BF"/>
      <w:sz w:val="36"/>
      <w:szCs w:val="32"/>
    </w:rPr>
  </w:style>
  <w:style w:type="paragraph" w:styleId="Heading2">
    <w:name w:val="heading 2"/>
    <w:basedOn w:val="Normal"/>
    <w:next w:val="Normal"/>
    <w:link w:val="Heading2Char"/>
    <w:uiPriority w:val="9"/>
    <w:unhideWhenUsed/>
    <w:qFormat/>
    <w:rsid w:val="007268B0"/>
    <w:pPr>
      <w:keepNext/>
      <w:keepLines/>
      <w:spacing w:before="40" w:after="0"/>
      <w:outlineLvl w:val="1"/>
    </w:pPr>
    <w:rPr>
      <w:rFonts w:asciiTheme="majorHAnsi" w:hAnsiTheme="majorHAnsi" w:eastAsiaTheme="majorEastAsia" w:cstheme="majorBidi"/>
      <w:color w:val="880050" w:themeColor="accent1" w:themeShade="BF"/>
      <w:sz w:val="32"/>
      <w:szCs w:val="26"/>
    </w:rPr>
  </w:style>
  <w:style w:type="paragraph" w:styleId="Heading3">
    <w:name w:val="heading 3"/>
    <w:basedOn w:val="Normal"/>
    <w:next w:val="Normal"/>
    <w:link w:val="Heading3Char"/>
    <w:uiPriority w:val="9"/>
    <w:unhideWhenUsed/>
    <w:qFormat/>
    <w:rsid w:val="00FD2FEC"/>
    <w:pPr>
      <w:keepNext/>
      <w:keepLines/>
      <w:spacing w:before="40" w:after="0"/>
      <w:outlineLvl w:val="2"/>
    </w:pPr>
    <w:rPr>
      <w:rFonts w:asciiTheme="majorHAnsi" w:hAnsiTheme="majorHAnsi" w:eastAsiaTheme="majorEastAsia" w:cstheme="majorBidi"/>
      <w:color w:val="5A0035" w:themeColor="accent1" w:themeShade="7F"/>
      <w:sz w:val="30"/>
      <w:szCs w:val="24"/>
    </w:rPr>
  </w:style>
  <w:style w:type="paragraph" w:styleId="Heading4">
    <w:name w:val="heading 4"/>
    <w:basedOn w:val="Normal"/>
    <w:next w:val="Normal"/>
    <w:link w:val="Heading4Char"/>
    <w:uiPriority w:val="9"/>
    <w:unhideWhenUsed/>
    <w:qFormat/>
    <w:rsid w:val="002577C9"/>
    <w:pPr>
      <w:keepNext/>
      <w:keepLines/>
      <w:spacing w:before="40" w:after="0"/>
      <w:outlineLvl w:val="3"/>
    </w:pPr>
    <w:rPr>
      <w:rFonts w:asciiTheme="majorHAnsi" w:hAnsiTheme="majorHAnsi" w:eastAsiaTheme="majorEastAsia" w:cstheme="majorBidi"/>
      <w:iCs/>
      <w:color w:val="88005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268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68B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268B0"/>
    <w:rPr>
      <w:rFonts w:asciiTheme="majorHAnsi" w:hAnsiTheme="majorHAnsi" w:eastAsiaTheme="majorEastAsia" w:cstheme="majorBidi"/>
      <w:color w:val="880050" w:themeColor="accent1" w:themeShade="BF"/>
      <w:sz w:val="36"/>
      <w:szCs w:val="32"/>
    </w:rPr>
  </w:style>
  <w:style w:type="character" w:styleId="Heading2Char" w:customStyle="1">
    <w:name w:val="Heading 2 Char"/>
    <w:basedOn w:val="DefaultParagraphFont"/>
    <w:link w:val="Heading2"/>
    <w:uiPriority w:val="9"/>
    <w:rsid w:val="007268B0"/>
    <w:rPr>
      <w:rFonts w:asciiTheme="majorHAnsi" w:hAnsiTheme="majorHAnsi" w:eastAsiaTheme="majorEastAsia" w:cstheme="majorBidi"/>
      <w:color w:val="880050" w:themeColor="accent1" w:themeShade="BF"/>
      <w:sz w:val="32"/>
      <w:szCs w:val="26"/>
    </w:rPr>
  </w:style>
  <w:style w:type="paragraph" w:styleId="Header">
    <w:name w:val="header"/>
    <w:basedOn w:val="Normal"/>
    <w:link w:val="HeaderChar"/>
    <w:uiPriority w:val="99"/>
    <w:unhideWhenUsed/>
    <w:rsid w:val="00726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68B0"/>
    <w:rPr>
      <w:sz w:val="28"/>
    </w:rPr>
  </w:style>
  <w:style w:type="paragraph" w:styleId="Footer">
    <w:name w:val="footer"/>
    <w:basedOn w:val="Normal"/>
    <w:link w:val="FooterChar"/>
    <w:uiPriority w:val="99"/>
    <w:unhideWhenUsed/>
    <w:rsid w:val="00726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68B0"/>
    <w:rPr>
      <w:sz w:val="28"/>
    </w:rPr>
  </w:style>
  <w:style w:type="paragraph" w:styleId="ListParagraph">
    <w:name w:val="List Paragraph"/>
    <w:basedOn w:val="Normal"/>
    <w:uiPriority w:val="34"/>
    <w:qFormat/>
    <w:rsid w:val="00AA448F"/>
    <w:pPr>
      <w:ind w:left="720"/>
      <w:contextualSpacing/>
    </w:pPr>
  </w:style>
  <w:style w:type="paragraph" w:styleId="FootnoteText">
    <w:name w:val="footnote text"/>
    <w:basedOn w:val="Normal"/>
    <w:link w:val="FootnoteTextChar"/>
    <w:uiPriority w:val="99"/>
    <w:unhideWhenUsed/>
    <w:rsid w:val="002C2231"/>
    <w:pPr>
      <w:spacing w:after="0" w:line="240" w:lineRule="auto"/>
    </w:pPr>
    <w:rPr>
      <w:sz w:val="20"/>
      <w:szCs w:val="20"/>
    </w:rPr>
  </w:style>
  <w:style w:type="character" w:styleId="FootnoteTextChar" w:customStyle="1">
    <w:name w:val="Footnote Text Char"/>
    <w:basedOn w:val="DefaultParagraphFont"/>
    <w:link w:val="FootnoteText"/>
    <w:uiPriority w:val="99"/>
    <w:rsid w:val="002C2231"/>
    <w:rPr>
      <w:sz w:val="20"/>
      <w:szCs w:val="20"/>
    </w:rPr>
  </w:style>
  <w:style w:type="character" w:styleId="FootnoteReference">
    <w:name w:val="footnote reference"/>
    <w:basedOn w:val="DefaultParagraphFont"/>
    <w:uiPriority w:val="99"/>
    <w:semiHidden/>
    <w:unhideWhenUsed/>
    <w:rsid w:val="002C2231"/>
    <w:rPr>
      <w:vertAlign w:val="superscript"/>
    </w:rPr>
  </w:style>
  <w:style w:type="character" w:styleId="Hyperlink">
    <w:name w:val="Hyperlink"/>
    <w:basedOn w:val="DefaultParagraphFont"/>
    <w:uiPriority w:val="99"/>
    <w:unhideWhenUsed/>
    <w:rsid w:val="00F77BB5"/>
    <w:rPr>
      <w:color w:val="B6006C" w:themeColor="hyperlink"/>
      <w:u w:val="single"/>
    </w:rPr>
  </w:style>
  <w:style w:type="character" w:styleId="UnresolvedMention">
    <w:name w:val="Unresolved Mention"/>
    <w:basedOn w:val="DefaultParagraphFont"/>
    <w:uiPriority w:val="99"/>
    <w:semiHidden/>
    <w:unhideWhenUsed/>
    <w:rsid w:val="00F77BB5"/>
    <w:rPr>
      <w:color w:val="605E5C"/>
      <w:shd w:val="clear" w:color="auto" w:fill="E1DFDD"/>
    </w:rPr>
  </w:style>
  <w:style w:type="character" w:styleId="Heading4Char" w:customStyle="1">
    <w:name w:val="Heading 4 Char"/>
    <w:basedOn w:val="DefaultParagraphFont"/>
    <w:link w:val="Heading4"/>
    <w:uiPriority w:val="9"/>
    <w:rsid w:val="002577C9"/>
    <w:rPr>
      <w:rFonts w:asciiTheme="majorHAnsi" w:hAnsiTheme="majorHAnsi" w:eastAsiaTheme="majorEastAsia" w:cstheme="majorBidi"/>
      <w:iCs/>
      <w:color w:val="880050" w:themeColor="accent1" w:themeShade="BF"/>
      <w:sz w:val="28"/>
    </w:rPr>
  </w:style>
  <w:style w:type="character" w:styleId="FollowedHyperlink">
    <w:name w:val="FollowedHyperlink"/>
    <w:basedOn w:val="DefaultParagraphFont"/>
    <w:uiPriority w:val="99"/>
    <w:semiHidden/>
    <w:unhideWhenUsed/>
    <w:rsid w:val="00351B4B"/>
    <w:rPr>
      <w:color w:val="2D7D9E" w:themeColor="followedHyperlink"/>
      <w:u w:val="single"/>
    </w:rPr>
  </w:style>
  <w:style w:type="character" w:styleId="Heading3Char" w:customStyle="1">
    <w:name w:val="Heading 3 Char"/>
    <w:basedOn w:val="DefaultParagraphFont"/>
    <w:link w:val="Heading3"/>
    <w:uiPriority w:val="9"/>
    <w:rsid w:val="00FD2FEC"/>
    <w:rPr>
      <w:rFonts w:asciiTheme="majorHAnsi" w:hAnsiTheme="majorHAnsi" w:eastAsiaTheme="majorEastAsia" w:cstheme="majorBidi"/>
      <w:color w:val="5A0035" w:themeColor="accent1" w:themeShade="7F"/>
      <w:sz w:val="30"/>
      <w:szCs w:val="24"/>
    </w:rPr>
  </w:style>
  <w:style w:type="character" w:styleId="A10" w:customStyle="1">
    <w:name w:val="A10"/>
    <w:uiPriority w:val="99"/>
    <w:rsid w:val="004127BD"/>
    <w:rPr>
      <w:rFonts w:cs="Open Sans"/>
      <w:color w:val="3B3B3A"/>
      <w:sz w:val="12"/>
      <w:szCs w:val="12"/>
    </w:rPr>
  </w:style>
  <w:style w:type="paragraph" w:styleId="Pa2" w:customStyle="1">
    <w:name w:val="Pa2"/>
    <w:basedOn w:val="Normal"/>
    <w:next w:val="Normal"/>
    <w:uiPriority w:val="99"/>
    <w:rsid w:val="0063660A"/>
    <w:pPr>
      <w:autoSpaceDE w:val="0"/>
      <w:autoSpaceDN w:val="0"/>
      <w:adjustRightInd w:val="0"/>
      <w:spacing w:after="0" w:line="211" w:lineRule="atLeast"/>
    </w:pPr>
    <w:rPr>
      <w:rFonts w:ascii="Open Sans" w:hAnsi="Open Sans" w:cs="Times New Roman"/>
      <w:kern w:val="0"/>
      <w:sz w:val="24"/>
      <w:szCs w:val="24"/>
    </w:rPr>
  </w:style>
  <w:style w:type="paragraph" w:styleId="Default" w:customStyle="1">
    <w:name w:val="Default"/>
    <w:rsid w:val="005A4125"/>
    <w:pPr>
      <w:autoSpaceDE w:val="0"/>
      <w:autoSpaceDN w:val="0"/>
      <w:adjustRightInd w:val="0"/>
      <w:spacing w:after="0" w:line="240" w:lineRule="auto"/>
    </w:pPr>
    <w:rPr>
      <w:rFonts w:ascii="Open Sans" w:hAnsi="Open Sans" w:cs="Open Sans"/>
      <w:color w:val="000000"/>
      <w:kern w:val="0"/>
      <w:sz w:val="24"/>
      <w:szCs w:val="24"/>
    </w:rPr>
  </w:style>
  <w:style w:type="paragraph" w:styleId="TOCHeading">
    <w:name w:val="TOC Heading"/>
    <w:basedOn w:val="Heading1"/>
    <w:next w:val="Normal"/>
    <w:uiPriority w:val="39"/>
    <w:unhideWhenUsed/>
    <w:qFormat/>
    <w:rsid w:val="009959B2"/>
    <w:pPr>
      <w:outlineLvl w:val="9"/>
    </w:pPr>
    <w:rPr>
      <w:kern w:val="0"/>
      <w:lang w:val="en-US"/>
      <w14:ligatures w14:val="none"/>
    </w:rPr>
  </w:style>
  <w:style w:type="paragraph" w:styleId="TOC1">
    <w:name w:val="toc 1"/>
    <w:basedOn w:val="Normal"/>
    <w:next w:val="Normal"/>
    <w:autoRedefine/>
    <w:uiPriority w:val="39"/>
    <w:unhideWhenUsed/>
    <w:rsid w:val="009959B2"/>
    <w:pPr>
      <w:tabs>
        <w:tab w:val="right" w:leader="dot" w:pos="9016"/>
      </w:tabs>
      <w:spacing w:after="100"/>
    </w:pPr>
    <w:rPr>
      <w:b/>
      <w:bCs/>
      <w:noProof/>
    </w:rPr>
  </w:style>
  <w:style w:type="paragraph" w:styleId="TOC2">
    <w:name w:val="toc 2"/>
    <w:basedOn w:val="Normal"/>
    <w:next w:val="Normal"/>
    <w:autoRedefine/>
    <w:uiPriority w:val="39"/>
    <w:unhideWhenUsed/>
    <w:rsid w:val="009959B2"/>
    <w:pPr>
      <w:spacing w:after="100"/>
      <w:ind w:left="280"/>
    </w:pPr>
  </w:style>
  <w:style w:type="paragraph" w:styleId="TOC3">
    <w:name w:val="toc 3"/>
    <w:basedOn w:val="Normal"/>
    <w:next w:val="Normal"/>
    <w:autoRedefine/>
    <w:uiPriority w:val="39"/>
    <w:unhideWhenUsed/>
    <w:rsid w:val="009959B2"/>
    <w:pPr>
      <w:spacing w:after="100"/>
      <w:ind w:left="560"/>
    </w:pPr>
  </w:style>
  <w:style w:type="paragraph" w:styleId="NoSpacing">
    <w:name w:val="No Spacing"/>
    <w:uiPriority w:val="1"/>
    <w:qFormat/>
    <w:rsid w:val="00431A1A"/>
    <w:pPr>
      <w:spacing w:after="0" w:line="240" w:lineRule="auto"/>
    </w:pPr>
    <w:rPr>
      <w:sz w:val="28"/>
    </w:rPr>
  </w:style>
  <w:style w:type="paragraph" w:styleId="Pa4" w:customStyle="1">
    <w:name w:val="Pa4"/>
    <w:basedOn w:val="Default"/>
    <w:next w:val="Default"/>
    <w:uiPriority w:val="99"/>
    <w:rsid w:val="008C5C75"/>
    <w:pPr>
      <w:spacing w:line="211" w:lineRule="atLeast"/>
    </w:pPr>
    <w:rPr>
      <w:rFonts w:ascii="Open Sans Semibold" w:hAnsi="Open Sans Semibold" w:cs="Times New Roman"/>
      <w:color w:val="auto"/>
    </w:rPr>
  </w:style>
  <w:style w:type="character" w:styleId="A7" w:customStyle="1">
    <w:name w:val="A7"/>
    <w:uiPriority w:val="99"/>
    <w:rsid w:val="008C5C75"/>
    <w:rPr>
      <w:rFonts w:cs="Open Sans Semibold"/>
      <w:b/>
      <w:bCs/>
      <w:color w:val="FFFFFF"/>
      <w:sz w:val="12"/>
      <w:szCs w:val="1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E72169"/>
  </w:style>
  <w:style w:type="character" w:styleId="eop" w:customStyle="1">
    <w:name w:val="eop"/>
    <w:basedOn w:val="DefaultParagraphFont"/>
    <w:rsid w:val="00E7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a3e84d5d9f4d4e80" /></Relationships>
</file>

<file path=word/_rels/footnotes.xml.rels><?xml version="1.0" encoding="UTF-8" standalone="yes"?>
<Relationships xmlns="http://schemas.openxmlformats.org/package/2006/relationships"><Relationship Id="rId8" Type="http://schemas.openxmlformats.org/officeDocument/2006/relationships/hyperlink" Target="https://www.endviolenceagainstwomen.org.uk/wp-content/uploads/2023/05/Keep-Counselling-Confidential-FINAL-10th-May-23.pdf" TargetMode="External"/><Relationship Id="rId3" Type="http://schemas.openxmlformats.org/officeDocument/2006/relationships/hyperlink" Target="https://www.endviolenceagainstwomen.org.uk/wp-content/uploads/2022/11/VAWG-Sector-Cost-of-Living-Statement-FINAL.pdf" TargetMode="External"/><Relationship Id="rId7" Type="http://schemas.openxmlformats.org/officeDocument/2006/relationships/hyperlink" Target="https://www.endviolenceagainstwomen.org.uk/wp-content/%20uploads/2023/05/11th-May-final-ILAR-briefing.pdf%20" TargetMode="External"/><Relationship Id="rId2" Type="http://schemas.openxmlformats.org/officeDocument/2006/relationships/hyperlink" Target="https://www.imkaan.org.uk/by-and-for" TargetMode="External"/><Relationship Id="rId1" Type="http://schemas.openxmlformats.org/officeDocument/2006/relationships/hyperlink" Target="https://rm.coe.int/168008482e" TargetMode="External"/><Relationship Id="rId6" Type="http://schemas.openxmlformats.org/officeDocument/2006/relationships/hyperlink" Target="https://assets.publishing.service.gov.uk/government/uploads/system/uploads/attachment_data/file/1064571/National_Statement_of_Expectations_2022_Final.pdf" TargetMode="External"/><Relationship Id="rId11" Type="http://schemas.openxmlformats.org/officeDocument/2006/relationships/hyperlink" Target="https://www.amazon.co.uk/No-Safe-Place-Murdered-Father/dp/1913543056" TargetMode="External"/><Relationship Id="rId5" Type="http://schemas.openxmlformats.org/officeDocument/2006/relationships/hyperlink" Target="https://www.npcc.police.uk/SysSiteAssets/media/downloads/our-work/vawg/violence-against-women-and-girls---strategic-threat-risk-assessment-2023.pdf" TargetMode="External"/><Relationship Id="rId10" Type="http://schemas.openxmlformats.org/officeDocument/2006/relationships/hyperlink" Target="https://www.endviolenceagainstwomen.org.uk/wp-content/uploads/2023/06/RapeReviewReport-160623FINAL.pdf" TargetMode="External"/><Relationship Id="rId4" Type="http://schemas.openxmlformats.org/officeDocument/2006/relationships/hyperlink" Target="https://www.endviolenceagainstwomen.org.uk/wp-content/uploads/2020/04/EVAW-Coalition-Briefing-on-COVID19-Pandemic-and-Duty-to-Prevent-VAWG-April-2020-FINAL.pdf" TargetMode="External"/><Relationship Id="rId9" Type="http://schemas.openxmlformats.org/officeDocument/2006/relationships/hyperlink" Target="https://rcew.fra1.cdn.digitaloceanspaces.com/media/documents/RCEW_-_Breaking_Point_report_-_March_2023_E4uqKBL.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0c8fe73-d20d-4f37-b77c-7ced3efeb527}"/>
      </w:docPartPr>
      <w:docPartBody>
        <w:p w14:paraId="55812EBB">
          <w:r>
            <w:rPr>
              <w:rStyle w:val="PlaceholderText"/>
            </w:rPr>
            <w:t/>
          </w:r>
        </w:p>
      </w:docPartBody>
    </w:docPart>
  </w:docParts>
</w:glossaryDocument>
</file>

<file path=word/theme/theme1.xml><?xml version="1.0" encoding="utf-8"?>
<a:theme xmlns:a="http://schemas.openxmlformats.org/drawingml/2006/main" name="WA Word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4" ma:contentTypeDescription="Create a new document." ma:contentTypeScope="" ma:versionID="f46b8fd46d3a3d0c4ccbac8f45449d54">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6794ccfcf5806e33194d1ee83868acac"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B8580-2AA7-4A37-B649-94ED03986F4C}">
  <ds:schemaRefs>
    <ds:schemaRef ds:uri="http://schemas.microsoft.com/office/2006/metadata/properties"/>
    <ds:schemaRef ds:uri="http://schemas.microsoft.com/office/infopath/2007/PartnerControls"/>
    <ds:schemaRef ds:uri="bf0ca1f8-4a20-4b43-ba8d-7a5a71959b89"/>
    <ds:schemaRef ds:uri="ffd71853-7826-4017-8eff-35b251dd80a3"/>
  </ds:schemaRefs>
</ds:datastoreItem>
</file>

<file path=customXml/itemProps2.xml><?xml version="1.0" encoding="utf-8"?>
<ds:datastoreItem xmlns:ds="http://schemas.openxmlformats.org/officeDocument/2006/customXml" ds:itemID="{261B103C-52C1-4D4D-ADCF-B6DFB0B5D6A2}">
  <ds:schemaRefs>
    <ds:schemaRef ds:uri="http://schemas.openxmlformats.org/officeDocument/2006/bibliography"/>
  </ds:schemaRefs>
</ds:datastoreItem>
</file>

<file path=customXml/itemProps3.xml><?xml version="1.0" encoding="utf-8"?>
<ds:datastoreItem xmlns:ds="http://schemas.openxmlformats.org/officeDocument/2006/customXml" ds:itemID="{1020D867-0989-4207-9D1B-272F304EC11C}">
  <ds:schemaRefs>
    <ds:schemaRef ds:uri="http://schemas.microsoft.com/sharepoint/v3/contenttype/forms"/>
  </ds:schemaRefs>
</ds:datastoreItem>
</file>

<file path=customXml/itemProps4.xml><?xml version="1.0" encoding="utf-8"?>
<ds:datastoreItem xmlns:ds="http://schemas.openxmlformats.org/officeDocument/2006/customXml" ds:itemID="{5121AE30-D669-435E-A3C3-AA1EFCC9D6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Nowhere to turn 2023 by Women's Aid</dc:title>
  <dc:subject/>
  <dc:creator>Ellie Lundberg</dc:creator>
  <keywords/>
  <dc:description/>
  <lastModifiedBy>Chloe Browning</lastModifiedBy>
  <revision>4</revision>
  <dcterms:created xsi:type="dcterms:W3CDTF">2023-09-15T13:36:00.0000000Z</dcterms:created>
  <dcterms:modified xsi:type="dcterms:W3CDTF">2023-11-02T11:41:27.2505216Z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0x010100EF12A1D1EEA7734FB24FDE906B1FE10F</vt:lpwstr>
  </property>
  <property fmtid="{D5CDD505-2E9C-101B-9397-08002B2CF9AE}" pid="3" name="MediaServiceImageTags">
    <vt:lpwstr/>
  </property>
</Properties>
</file>