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6F569" w14:textId="30428FF7" w:rsidR="00942AA3" w:rsidRPr="00493AC6" w:rsidRDefault="00942AA3" w:rsidP="007E72F1"/>
    <w:p w14:paraId="5A9FAF35" w14:textId="77777777" w:rsidR="00B40A32" w:rsidRPr="00493AC6" w:rsidRDefault="00B40A32" w:rsidP="007E72F1">
      <w:pPr>
        <w:pStyle w:val="Title"/>
        <w:spacing w:line="360" w:lineRule="auto"/>
        <w:rPr>
          <w:lang w:val="en-US"/>
        </w:rPr>
      </w:pPr>
    </w:p>
    <w:p w14:paraId="5890E106" w14:textId="77777777" w:rsidR="00B40A32" w:rsidRPr="00493AC6" w:rsidRDefault="00B40A32" w:rsidP="007E72F1">
      <w:pPr>
        <w:pStyle w:val="Title"/>
        <w:spacing w:line="360" w:lineRule="auto"/>
        <w:rPr>
          <w:lang w:val="en-US"/>
        </w:rPr>
      </w:pPr>
    </w:p>
    <w:p w14:paraId="3F749A6F" w14:textId="48C16BF1" w:rsidR="00B40A32" w:rsidRPr="00493AC6" w:rsidRDefault="00B40A32" w:rsidP="007E72F1">
      <w:pPr>
        <w:pStyle w:val="Title"/>
        <w:spacing w:line="360" w:lineRule="auto"/>
        <w:rPr>
          <w:lang w:val="en-US"/>
        </w:rPr>
      </w:pPr>
    </w:p>
    <w:p w14:paraId="56716215" w14:textId="1BEF1E92" w:rsidR="00942AA3" w:rsidRPr="00493AC6" w:rsidRDefault="00B40A32" w:rsidP="007E72F1">
      <w:pPr>
        <w:pStyle w:val="Title"/>
        <w:spacing w:line="360" w:lineRule="auto"/>
        <w:rPr>
          <w:lang w:val="en-US"/>
        </w:rPr>
      </w:pPr>
      <w:r w:rsidRPr="00493AC6">
        <w:rPr>
          <w:lang w:val="en-US"/>
        </w:rPr>
        <w:t>Nowhere to turn 2022</w:t>
      </w:r>
    </w:p>
    <w:p w14:paraId="1ED402AA" w14:textId="0921C76B" w:rsidR="00942AA3" w:rsidRPr="0007637C" w:rsidRDefault="00B40A32" w:rsidP="0007637C">
      <w:pPr>
        <w:pStyle w:val="Subtitle"/>
        <w:rPr>
          <w:sz w:val="40"/>
          <w:szCs w:val="40"/>
          <w:lang w:val="en-US"/>
        </w:rPr>
      </w:pPr>
      <w:r w:rsidRPr="0007637C">
        <w:rPr>
          <w:sz w:val="40"/>
          <w:szCs w:val="40"/>
          <w:lang w:val="en-US"/>
        </w:rPr>
        <w:t>Accessible version</w:t>
      </w:r>
    </w:p>
    <w:p w14:paraId="027B30FB" w14:textId="77777777" w:rsidR="00B40A32" w:rsidRPr="00493AC6" w:rsidRDefault="00B40A32" w:rsidP="007E72F1">
      <w:pPr>
        <w:rPr>
          <w:rFonts w:ascii="Open Sans" w:hAnsi="Open Sans" w:cs="Open Sans"/>
          <w:color w:val="B6006C"/>
          <w:sz w:val="32"/>
          <w:szCs w:val="32"/>
          <w:lang w:val="en-US"/>
        </w:rPr>
      </w:pPr>
      <w:r w:rsidRPr="00493AC6">
        <w:rPr>
          <w:rFonts w:ascii="Open Sans" w:hAnsi="Open Sans" w:cs="Open Sans"/>
          <w:color w:val="B6006C"/>
          <w:sz w:val="32"/>
          <w:szCs w:val="32"/>
          <w:lang w:val="en-US"/>
        </w:rPr>
        <w:br w:type="page"/>
      </w:r>
    </w:p>
    <w:p w14:paraId="23FFA115" w14:textId="413C3F77" w:rsidR="0007637C" w:rsidRDefault="006339F8" w:rsidP="0007637C">
      <w:pPr>
        <w:pStyle w:val="Heading1"/>
        <w:rPr>
          <w:lang w:val="en-US"/>
        </w:rPr>
      </w:pPr>
      <w:bookmarkStart w:id="0" w:name="_Toc104535736"/>
      <w:r>
        <w:rPr>
          <w:lang w:val="en-US"/>
        </w:rPr>
        <w:lastRenderedPageBreak/>
        <w:t>A</w:t>
      </w:r>
      <w:r w:rsidR="0007637C">
        <w:rPr>
          <w:lang w:val="en-US"/>
        </w:rPr>
        <w:t>cknowledgements</w:t>
      </w:r>
      <w:bookmarkEnd w:id="0"/>
    </w:p>
    <w:p w14:paraId="4676EBA7" w14:textId="33FDA069" w:rsidR="00942AA3" w:rsidRPr="00493AC6" w:rsidRDefault="00B50D4C" w:rsidP="0007637C">
      <w:pPr>
        <w:pStyle w:val="Heading2"/>
        <w:rPr>
          <w:lang w:val="en-US"/>
        </w:rPr>
      </w:pPr>
      <w:bookmarkStart w:id="1" w:name="_Toc104475854"/>
      <w:bookmarkStart w:id="2" w:name="_Toc104535737"/>
      <w:r w:rsidRPr="00493AC6">
        <w:rPr>
          <w:lang w:val="en-US"/>
        </w:rPr>
        <w:t>Author</w:t>
      </w:r>
      <w:bookmarkEnd w:id="1"/>
      <w:bookmarkEnd w:id="2"/>
    </w:p>
    <w:p w14:paraId="5B3B52D6" w14:textId="77777777" w:rsidR="00B50D4C" w:rsidRPr="00493AC6" w:rsidRDefault="00B50D4C" w:rsidP="007E72F1">
      <w:pPr>
        <w:spacing w:after="0"/>
        <w:rPr>
          <w:rFonts w:ascii="Open Sans" w:hAnsi="Open Sans" w:cs="Open Sans"/>
          <w:b/>
          <w:lang w:val="en-US"/>
        </w:rPr>
      </w:pPr>
      <w:r w:rsidRPr="00493AC6">
        <w:rPr>
          <w:rFonts w:ascii="Open Sans" w:hAnsi="Open Sans" w:cs="Open Sans"/>
          <w:b/>
          <w:lang w:val="en-US"/>
        </w:rPr>
        <w:t>Phoebe Nicholson-Pallett</w:t>
      </w:r>
    </w:p>
    <w:p w14:paraId="0DE5CE89" w14:textId="19F73ED6" w:rsidR="00B50D4C" w:rsidRDefault="00B50D4C" w:rsidP="007E72F1">
      <w:pPr>
        <w:spacing w:after="0"/>
        <w:rPr>
          <w:rFonts w:ascii="Open Sans" w:hAnsi="Open Sans" w:cs="Open Sans"/>
        </w:rPr>
      </w:pPr>
      <w:r w:rsidRPr="00493AC6">
        <w:rPr>
          <w:rFonts w:ascii="Open Sans" w:hAnsi="Open Sans" w:cs="Open Sans"/>
        </w:rPr>
        <w:t xml:space="preserve">Research and Evaluation, Women’s Aid </w:t>
      </w:r>
      <w:r w:rsidR="00EA7152" w:rsidRPr="00493AC6">
        <w:rPr>
          <w:rFonts w:ascii="Open Sans" w:hAnsi="Open Sans" w:cs="Open Sans"/>
        </w:rPr>
        <w:t>(WA)</w:t>
      </w:r>
    </w:p>
    <w:p w14:paraId="3D3256E8" w14:textId="77777777" w:rsidR="0007637C" w:rsidRPr="00493AC6" w:rsidRDefault="0007637C" w:rsidP="007E72F1">
      <w:pPr>
        <w:spacing w:after="0"/>
        <w:rPr>
          <w:rFonts w:ascii="Open Sans" w:hAnsi="Open Sans" w:cs="Open Sans"/>
        </w:rPr>
      </w:pPr>
    </w:p>
    <w:p w14:paraId="44311BBC" w14:textId="77777777" w:rsidR="00B50D4C" w:rsidRPr="00493AC6" w:rsidRDefault="00B50D4C" w:rsidP="0007637C">
      <w:pPr>
        <w:pStyle w:val="Heading2"/>
        <w:rPr>
          <w:lang w:val="en-US"/>
        </w:rPr>
      </w:pPr>
      <w:bookmarkStart w:id="3" w:name="_Toc104475855"/>
      <w:bookmarkStart w:id="4" w:name="_Toc104535738"/>
      <w:r w:rsidRPr="00493AC6">
        <w:rPr>
          <w:lang w:val="en-US"/>
        </w:rPr>
        <w:t>Acknowledgements</w:t>
      </w:r>
      <w:bookmarkEnd w:id="3"/>
      <w:bookmarkEnd w:id="4"/>
    </w:p>
    <w:p w14:paraId="2B01DD74" w14:textId="75417C31" w:rsidR="00913D45" w:rsidRPr="00493AC6" w:rsidRDefault="00913D45" w:rsidP="007E72F1">
      <w:pPr>
        <w:rPr>
          <w:rFonts w:ascii="Open Sans" w:hAnsi="Open Sans" w:cs="Open Sans"/>
        </w:rPr>
      </w:pPr>
      <w:r w:rsidRPr="00493AC6">
        <w:rPr>
          <w:rFonts w:ascii="Open Sans" w:hAnsi="Open Sans" w:cs="Open Sans"/>
        </w:rPr>
        <w:t xml:space="preserve">We would like to extend our deepest gratitude to the survivors who were supported by the </w:t>
      </w:r>
      <w:r w:rsidR="00B40A32" w:rsidRPr="00493AC6">
        <w:rPr>
          <w:rFonts w:ascii="Open Sans" w:hAnsi="Open Sans" w:cs="Open Sans"/>
        </w:rPr>
        <w:t>No Woman Turned Away (NWTA)</w:t>
      </w:r>
      <w:r w:rsidRPr="00493AC6">
        <w:rPr>
          <w:rFonts w:ascii="Open Sans" w:hAnsi="Open Sans" w:cs="Open Sans"/>
        </w:rPr>
        <w:t xml:space="preserve"> project and who provided the data that this report draws on.</w:t>
      </w:r>
      <w:r w:rsidR="00A96A3D" w:rsidRPr="00493AC6">
        <w:rPr>
          <w:rFonts w:ascii="Open Sans" w:hAnsi="Open Sans" w:cs="Open Sans"/>
        </w:rPr>
        <w:t xml:space="preserve"> A special thanks also to the survivor and professionals who shared their experiences with us for this report.</w:t>
      </w:r>
    </w:p>
    <w:p w14:paraId="01998309" w14:textId="5647012D" w:rsidR="00AB5D43" w:rsidRPr="00493AC6" w:rsidRDefault="00AB5D43" w:rsidP="007E72F1">
      <w:pPr>
        <w:rPr>
          <w:rFonts w:ascii="Open Sans" w:hAnsi="Open Sans" w:cs="Open Sans"/>
        </w:rPr>
      </w:pPr>
      <w:r w:rsidRPr="00493AC6">
        <w:rPr>
          <w:rFonts w:ascii="Open Sans" w:hAnsi="Open Sans" w:cs="Open Sans"/>
        </w:rPr>
        <w:t xml:space="preserve">We are also extremely grateful to the Department for Levelling </w:t>
      </w:r>
      <w:r w:rsidR="00F57728" w:rsidRPr="00493AC6">
        <w:rPr>
          <w:rFonts w:ascii="Open Sans" w:hAnsi="Open Sans" w:cs="Open Sans"/>
        </w:rPr>
        <w:t>U</w:t>
      </w:r>
      <w:r w:rsidRPr="00493AC6">
        <w:rPr>
          <w:rFonts w:ascii="Open Sans" w:hAnsi="Open Sans" w:cs="Open Sans"/>
        </w:rPr>
        <w:t xml:space="preserve">p, Housing and Communities (DLUHC) for continuing to fund the </w:t>
      </w:r>
      <w:r w:rsidR="00B40A32" w:rsidRPr="00493AC6">
        <w:rPr>
          <w:rFonts w:ascii="Open Sans" w:hAnsi="Open Sans" w:cs="Open Sans"/>
        </w:rPr>
        <w:t>NWTA</w:t>
      </w:r>
      <w:r w:rsidRPr="00493AC6">
        <w:rPr>
          <w:rFonts w:ascii="Open Sans" w:hAnsi="Open Sans" w:cs="Open Sans"/>
        </w:rPr>
        <w:t xml:space="preserve"> project. This funding has provided additional support for women who have faced structural inequalities and barriers to accessing a refuge, and detailed monitoring of the journeys of survivors seeking safety from domestic abuse.</w:t>
      </w:r>
    </w:p>
    <w:p w14:paraId="7944A637" w14:textId="77777777" w:rsidR="00AB5D43" w:rsidRPr="00493AC6" w:rsidRDefault="00AB5D43" w:rsidP="007E72F1">
      <w:pPr>
        <w:rPr>
          <w:rFonts w:ascii="Open Sans" w:hAnsi="Open Sans" w:cs="Open Sans"/>
        </w:rPr>
      </w:pPr>
      <w:r w:rsidRPr="00493AC6">
        <w:rPr>
          <w:rFonts w:ascii="Open Sans" w:hAnsi="Open Sans" w:cs="Open Sans"/>
        </w:rPr>
        <w:t>Many thanks to the</w:t>
      </w:r>
      <w:r w:rsidR="00683870" w:rsidRPr="00493AC6">
        <w:rPr>
          <w:rFonts w:ascii="Open Sans" w:hAnsi="Open Sans" w:cs="Open Sans"/>
        </w:rPr>
        <w:t xml:space="preserve"> NWTA specialist practitioners</w:t>
      </w:r>
      <w:r w:rsidRPr="00493AC6">
        <w:rPr>
          <w:rFonts w:ascii="Open Sans" w:hAnsi="Open Sans" w:cs="Open Sans"/>
        </w:rPr>
        <w:t xml:space="preserve">, Habiba Molvi, </w:t>
      </w:r>
      <w:r w:rsidR="00683870" w:rsidRPr="00493AC6">
        <w:rPr>
          <w:rFonts w:ascii="Open Sans" w:hAnsi="Open Sans" w:cs="Open Sans"/>
        </w:rPr>
        <w:t xml:space="preserve">Michelle Ruse, </w:t>
      </w:r>
      <w:r w:rsidRPr="00493AC6">
        <w:rPr>
          <w:rFonts w:ascii="Open Sans" w:hAnsi="Open Sans" w:cs="Open Sans"/>
        </w:rPr>
        <w:t>Simran Kaur, and Sue Westwood for the vital support they have given to survivors. Thank you also to Lisa Johnson, Manager of Direct Services at Women's Aid, and the direct services team for their invaluable contribution to the project.</w:t>
      </w:r>
    </w:p>
    <w:p w14:paraId="59A983CA" w14:textId="5C4F13BC" w:rsidR="0023178B" w:rsidRDefault="00AB5D43" w:rsidP="007E72F1">
      <w:pPr>
        <w:rPr>
          <w:rFonts w:ascii="Open Sans" w:hAnsi="Open Sans" w:cs="Open Sans"/>
        </w:rPr>
      </w:pPr>
      <w:r w:rsidRPr="00493AC6">
        <w:rPr>
          <w:rFonts w:ascii="Open Sans" w:hAnsi="Open Sans" w:cs="Open Sans"/>
        </w:rPr>
        <w:lastRenderedPageBreak/>
        <w:t>Thank you to Lizzie McCarthy, Senior Research and Policy Officer, and Sarah Davidge, Research and Evaluation Manager, for all their support and input. Thank you also to the wider team at Women's Aid for their support.</w:t>
      </w:r>
    </w:p>
    <w:p w14:paraId="60B5033D" w14:textId="77777777" w:rsidR="0007637C" w:rsidRPr="00493AC6" w:rsidRDefault="0007637C" w:rsidP="007E72F1">
      <w:pPr>
        <w:rPr>
          <w:rFonts w:ascii="Open Sans" w:hAnsi="Open Sans" w:cs="Open Sans"/>
        </w:rPr>
      </w:pPr>
    </w:p>
    <w:p w14:paraId="5731D2D8" w14:textId="77777777" w:rsidR="00B50D4C" w:rsidRPr="00493AC6" w:rsidRDefault="00B50D4C" w:rsidP="0007637C">
      <w:pPr>
        <w:pStyle w:val="Heading2"/>
      </w:pPr>
      <w:bookmarkStart w:id="5" w:name="_Toc104475856"/>
      <w:bookmarkStart w:id="6" w:name="_Toc104535739"/>
      <w:r w:rsidRPr="00493AC6">
        <w:rPr>
          <w:lang w:val="en-US"/>
        </w:rPr>
        <w:t>Dedication</w:t>
      </w:r>
      <w:bookmarkEnd w:id="5"/>
      <w:bookmarkEnd w:id="6"/>
    </w:p>
    <w:p w14:paraId="1D50BC4A" w14:textId="5B4B1F7B" w:rsidR="0007637C" w:rsidRDefault="00913D45" w:rsidP="007E72F1">
      <w:pPr>
        <w:rPr>
          <w:rFonts w:ascii="Open Sans" w:hAnsi="Open Sans" w:cs="Open Sans"/>
          <w:lang w:val="en-US"/>
        </w:rPr>
      </w:pPr>
      <w:r w:rsidRPr="00493AC6">
        <w:rPr>
          <w:rFonts w:ascii="Open Sans" w:hAnsi="Open Sans" w:cs="Open Sans"/>
          <w:lang w:val="en-US"/>
        </w:rPr>
        <w:t>This report is dedicated to the women whose experiences of seeking safety from do</w:t>
      </w:r>
      <w:r w:rsidR="0023178B" w:rsidRPr="00493AC6">
        <w:rPr>
          <w:rFonts w:ascii="Open Sans" w:hAnsi="Open Sans" w:cs="Open Sans"/>
          <w:lang w:val="en-US"/>
        </w:rPr>
        <w:t>mestic abuse are detailed here.</w:t>
      </w:r>
    </w:p>
    <w:p w14:paraId="6C039A35" w14:textId="4DC3880C" w:rsidR="00CB52AE" w:rsidRDefault="00CB52AE" w:rsidP="007E72F1">
      <w:pPr>
        <w:rPr>
          <w:rFonts w:ascii="Open Sans" w:hAnsi="Open Sans" w:cs="Open Sans"/>
          <w:lang w:val="en-US"/>
        </w:rPr>
      </w:pPr>
    </w:p>
    <w:p w14:paraId="6147219A" w14:textId="14764C69" w:rsidR="00CB52AE" w:rsidRDefault="00CB52AE" w:rsidP="00CB52AE">
      <w:pPr>
        <w:pStyle w:val="Heading2"/>
        <w:rPr>
          <w:lang w:val="en-US"/>
        </w:rPr>
      </w:pPr>
      <w:bookmarkStart w:id="7" w:name="_Toc104475857"/>
      <w:bookmarkStart w:id="8" w:name="_Toc104535740"/>
      <w:r>
        <w:rPr>
          <w:lang w:val="en-US"/>
        </w:rPr>
        <w:t>Accessibility</w:t>
      </w:r>
      <w:bookmarkEnd w:id="7"/>
      <w:bookmarkEnd w:id="8"/>
    </w:p>
    <w:p w14:paraId="7FEEF423" w14:textId="066D43D4" w:rsidR="0007637C" w:rsidRDefault="00CB52AE" w:rsidP="007E72F1">
      <w:pPr>
        <w:rPr>
          <w:lang w:val="en-US"/>
        </w:rPr>
      </w:pPr>
      <w:r>
        <w:rPr>
          <w:lang w:val="en-US"/>
        </w:rPr>
        <w:t xml:space="preserve">This is a plain-text version of the Nowhere to Turn 2022 report. </w:t>
      </w:r>
      <w:r w:rsidR="006339F8">
        <w:rPr>
          <w:lang w:val="en-US"/>
        </w:rPr>
        <w:t>Any t</w:t>
      </w:r>
      <w:r>
        <w:rPr>
          <w:lang w:val="en-US"/>
        </w:rPr>
        <w:t xml:space="preserve">ables have been converted into text </w:t>
      </w:r>
      <w:r w:rsidR="00DE6642">
        <w:rPr>
          <w:lang w:val="en-US"/>
        </w:rPr>
        <w:t>format</w:t>
      </w:r>
      <w:r>
        <w:rPr>
          <w:lang w:val="en-US"/>
        </w:rPr>
        <w:t xml:space="preserve">, </w:t>
      </w:r>
      <w:r w:rsidR="00DE6642">
        <w:rPr>
          <w:lang w:val="en-US"/>
        </w:rPr>
        <w:t>and</w:t>
      </w:r>
      <w:r>
        <w:rPr>
          <w:lang w:val="en-US"/>
        </w:rPr>
        <w:t xml:space="preserve"> display the s</w:t>
      </w:r>
      <w:r w:rsidR="00DE6642">
        <w:rPr>
          <w:lang w:val="en-US"/>
        </w:rPr>
        <w:t>ame data but in bullet points</w:t>
      </w:r>
      <w:r>
        <w:rPr>
          <w:lang w:val="en-US"/>
        </w:rPr>
        <w:t xml:space="preserve">. There is a line graph on </w:t>
      </w:r>
      <w:r w:rsidR="006339F8">
        <w:rPr>
          <w:lang w:val="en-US"/>
        </w:rPr>
        <w:t xml:space="preserve">page </w:t>
      </w:r>
      <w:r w:rsidR="00A544B3">
        <w:rPr>
          <w:lang w:val="en-US"/>
        </w:rPr>
        <w:t>46, but the data is repeated below and in the alternative text.</w:t>
      </w:r>
      <w:bookmarkStart w:id="9" w:name="_GoBack"/>
      <w:bookmarkEnd w:id="9"/>
    </w:p>
    <w:p w14:paraId="25BE4410" w14:textId="77777777" w:rsidR="00A544B3" w:rsidRDefault="00A544B3" w:rsidP="007E72F1">
      <w:pPr>
        <w:rPr>
          <w:rFonts w:ascii="Open Sans" w:hAnsi="Open Sans" w:cs="Open Sans"/>
          <w:lang w:val="en-US"/>
        </w:rPr>
      </w:pPr>
    </w:p>
    <w:p w14:paraId="725379AB" w14:textId="1EE78477" w:rsidR="0007637C" w:rsidRPr="0007637C" w:rsidRDefault="0007637C" w:rsidP="0007637C">
      <w:pPr>
        <w:pStyle w:val="Heading2"/>
        <w:rPr>
          <w:lang w:val="en-US"/>
        </w:rPr>
      </w:pPr>
      <w:bookmarkStart w:id="10" w:name="_Toc104475858"/>
      <w:bookmarkStart w:id="11" w:name="_Toc104535741"/>
      <w:r>
        <w:rPr>
          <w:lang w:val="en-US"/>
        </w:rPr>
        <w:t>About Women’s Aid</w:t>
      </w:r>
      <w:bookmarkEnd w:id="10"/>
      <w:bookmarkEnd w:id="11"/>
    </w:p>
    <w:p w14:paraId="295D002C" w14:textId="77777777" w:rsidR="00B50D4C" w:rsidRPr="00493AC6" w:rsidRDefault="00B50D4C" w:rsidP="0007637C">
      <w:pPr>
        <w:rPr>
          <w:lang w:val="en-US"/>
        </w:rPr>
      </w:pPr>
      <w:r w:rsidRPr="00493AC6">
        <w:t xml:space="preserve">Women’s Aid is the national charity working to end domestic abuse against women and children. Over the past 47 years, Women’s Aid has been at the forefront of shaping and coordinating responses to domestic abuse through practice, research and policy. We empower survivors by keeping their voices at the heart of our work, working </w:t>
      </w:r>
      <w:r w:rsidRPr="00493AC6">
        <w:lastRenderedPageBreak/>
        <w:t xml:space="preserve">with and for women and children by listening to them and responding to their needs. </w:t>
      </w:r>
    </w:p>
    <w:p w14:paraId="6FDC6130" w14:textId="77777777" w:rsidR="00B50D4C" w:rsidRPr="00493AC6" w:rsidRDefault="00B50D4C" w:rsidP="0007637C">
      <w:r w:rsidRPr="00493AC6">
        <w:t xml:space="preserve">We are a federation of over 170 organisations which provide just under 300 local lifesaving services to women and children across the country. We provide expert training, qualifications and consultancy to a range of agencies and professionals working with survivors or commissioning domestic abuse services, and award a National Quality Mark for services which meet our quality standards. We hold the largest national data set on domestic abuse, and use research and evidence to inform all of our work. Our campaigns achieve change in policy, practice and awareness, encouraging healthy relationships and helping to build a future where domestic abuse is no longer tolerated. </w:t>
      </w:r>
    </w:p>
    <w:p w14:paraId="74895A08" w14:textId="7713516B" w:rsidR="00A544B3" w:rsidRDefault="00B50D4C" w:rsidP="0007637C">
      <w:r w:rsidRPr="00493AC6">
        <w:t>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w:t>
      </w:r>
      <w:r w:rsidR="0085560C" w:rsidRPr="00493AC6">
        <w:t>.</w:t>
      </w:r>
    </w:p>
    <w:p w14:paraId="1FCF100C" w14:textId="3184136D" w:rsidR="00A544B3" w:rsidRPr="00A544B3" w:rsidRDefault="00A544B3" w:rsidP="00A544B3">
      <w:pPr>
        <w:spacing w:line="264" w:lineRule="auto"/>
      </w:pPr>
    </w:p>
    <w:p w14:paraId="00C34FD1" w14:textId="3E7C7501" w:rsidR="00B40A32" w:rsidRPr="00493AC6" w:rsidRDefault="00B40A32" w:rsidP="007E72F1">
      <w:pPr>
        <w:rPr>
          <w:rFonts w:ascii="Open Sans" w:hAnsi="Open Sans" w:cs="Open Sans"/>
          <w:sz w:val="18"/>
          <w:szCs w:val="18"/>
        </w:rPr>
      </w:pPr>
      <w:r w:rsidRPr="00493AC6">
        <w:rPr>
          <w:rFonts w:ascii="Open Sans" w:hAnsi="Open Sans" w:cs="Open Sans"/>
          <w:sz w:val="18"/>
          <w:szCs w:val="18"/>
        </w:rPr>
        <w:br w:type="page"/>
      </w:r>
    </w:p>
    <w:sdt>
      <w:sdtPr>
        <w:rPr>
          <w:rFonts w:asciiTheme="minorHAnsi" w:eastAsiaTheme="minorHAnsi" w:hAnsiTheme="minorHAnsi" w:cstheme="minorBidi"/>
          <w:color w:val="auto"/>
          <w:sz w:val="22"/>
          <w:szCs w:val="22"/>
        </w:rPr>
        <w:id w:val="-353658403"/>
        <w:docPartObj>
          <w:docPartGallery w:val="Table of Contents"/>
          <w:docPartUnique/>
        </w:docPartObj>
      </w:sdtPr>
      <w:sdtEndPr>
        <w:rPr>
          <w:rFonts w:eastAsiaTheme="minorEastAsia"/>
          <w:b/>
          <w:bCs/>
          <w:noProof/>
          <w:sz w:val="28"/>
          <w:szCs w:val="20"/>
        </w:rPr>
      </w:sdtEndPr>
      <w:sdtContent>
        <w:p w14:paraId="544FDED0" w14:textId="126A1DAB" w:rsidR="005A0709" w:rsidRPr="00493AC6" w:rsidRDefault="005A0709" w:rsidP="007E72F1">
          <w:pPr>
            <w:pStyle w:val="TOCHeading"/>
          </w:pPr>
          <w:r w:rsidRPr="00493AC6">
            <w:t>Contents</w:t>
          </w:r>
        </w:p>
        <w:p w14:paraId="78CF2970" w14:textId="15C40DF1" w:rsidR="00021CCD" w:rsidRDefault="00A544B3">
          <w:pPr>
            <w:pStyle w:val="TOC1"/>
            <w:tabs>
              <w:tab w:val="right" w:leader="dot" w:pos="9016"/>
            </w:tabs>
            <w:rPr>
              <w:rFonts w:cs="Shonar Bangla"/>
              <w:noProof/>
              <w:sz w:val="22"/>
              <w:szCs w:val="28"/>
              <w:lang w:eastAsia="en-GB" w:bidi="bn-IN"/>
            </w:rPr>
          </w:pPr>
          <w:r>
            <w:fldChar w:fldCharType="begin"/>
          </w:r>
          <w:r>
            <w:instrText xml:space="preserve"> TOC \o "1-2" \h \z \u </w:instrText>
          </w:r>
          <w:r>
            <w:fldChar w:fldCharType="separate"/>
          </w:r>
          <w:hyperlink w:anchor="_Toc104535736" w:history="1">
            <w:r w:rsidR="00021CCD" w:rsidRPr="00351383">
              <w:rPr>
                <w:rStyle w:val="Hyperlink"/>
                <w:noProof/>
                <w:lang w:val="en-US"/>
              </w:rPr>
              <w:t>Acknowledgements</w:t>
            </w:r>
            <w:r w:rsidR="00021CCD">
              <w:rPr>
                <w:noProof/>
                <w:webHidden/>
              </w:rPr>
              <w:tab/>
            </w:r>
            <w:r w:rsidR="00021CCD">
              <w:rPr>
                <w:noProof/>
                <w:webHidden/>
              </w:rPr>
              <w:fldChar w:fldCharType="begin"/>
            </w:r>
            <w:r w:rsidR="00021CCD">
              <w:rPr>
                <w:noProof/>
                <w:webHidden/>
              </w:rPr>
              <w:instrText xml:space="preserve"> PAGEREF _Toc104535736 \h </w:instrText>
            </w:r>
            <w:r w:rsidR="00021CCD">
              <w:rPr>
                <w:noProof/>
                <w:webHidden/>
              </w:rPr>
            </w:r>
            <w:r w:rsidR="00021CCD">
              <w:rPr>
                <w:noProof/>
                <w:webHidden/>
              </w:rPr>
              <w:fldChar w:fldCharType="separate"/>
            </w:r>
            <w:r w:rsidR="008339E6">
              <w:rPr>
                <w:noProof/>
                <w:webHidden/>
              </w:rPr>
              <w:t>1</w:t>
            </w:r>
            <w:r w:rsidR="00021CCD">
              <w:rPr>
                <w:noProof/>
                <w:webHidden/>
              </w:rPr>
              <w:fldChar w:fldCharType="end"/>
            </w:r>
          </w:hyperlink>
        </w:p>
        <w:p w14:paraId="26CDB2A4" w14:textId="4173EA6F" w:rsidR="00021CCD" w:rsidRDefault="00021CCD">
          <w:pPr>
            <w:pStyle w:val="TOC1"/>
            <w:tabs>
              <w:tab w:val="right" w:leader="dot" w:pos="9016"/>
            </w:tabs>
            <w:rPr>
              <w:rFonts w:cs="Shonar Bangla"/>
              <w:noProof/>
              <w:sz w:val="22"/>
              <w:szCs w:val="28"/>
              <w:lang w:eastAsia="en-GB" w:bidi="bn-IN"/>
            </w:rPr>
          </w:pPr>
          <w:hyperlink w:anchor="_Toc104535742" w:history="1">
            <w:r w:rsidRPr="00351383">
              <w:rPr>
                <w:rStyle w:val="Hyperlink"/>
                <w:noProof/>
              </w:rPr>
              <w:t>Summary of findings</w:t>
            </w:r>
            <w:r>
              <w:rPr>
                <w:noProof/>
                <w:webHidden/>
              </w:rPr>
              <w:tab/>
            </w:r>
            <w:r>
              <w:rPr>
                <w:noProof/>
                <w:webHidden/>
              </w:rPr>
              <w:fldChar w:fldCharType="begin"/>
            </w:r>
            <w:r>
              <w:rPr>
                <w:noProof/>
                <w:webHidden/>
              </w:rPr>
              <w:instrText xml:space="preserve"> PAGEREF _Toc104535742 \h </w:instrText>
            </w:r>
            <w:r>
              <w:rPr>
                <w:noProof/>
                <w:webHidden/>
              </w:rPr>
            </w:r>
            <w:r>
              <w:rPr>
                <w:noProof/>
                <w:webHidden/>
              </w:rPr>
              <w:fldChar w:fldCharType="separate"/>
            </w:r>
            <w:r w:rsidR="008339E6">
              <w:rPr>
                <w:noProof/>
                <w:webHidden/>
              </w:rPr>
              <w:t>7</w:t>
            </w:r>
            <w:r>
              <w:rPr>
                <w:noProof/>
                <w:webHidden/>
              </w:rPr>
              <w:fldChar w:fldCharType="end"/>
            </w:r>
          </w:hyperlink>
        </w:p>
        <w:p w14:paraId="3C4B062F" w14:textId="5FF0A5B7" w:rsidR="00021CCD" w:rsidRDefault="00021CCD">
          <w:pPr>
            <w:pStyle w:val="TOC1"/>
            <w:tabs>
              <w:tab w:val="right" w:leader="dot" w:pos="9016"/>
            </w:tabs>
            <w:rPr>
              <w:rFonts w:cs="Shonar Bangla"/>
              <w:noProof/>
              <w:sz w:val="22"/>
              <w:szCs w:val="28"/>
              <w:lang w:eastAsia="en-GB" w:bidi="bn-IN"/>
            </w:rPr>
          </w:pPr>
          <w:hyperlink w:anchor="_Toc104535743" w:history="1">
            <w:r w:rsidRPr="00351383">
              <w:rPr>
                <w:rStyle w:val="Hyperlink"/>
                <w:b/>
                <w:bCs/>
                <w:noProof/>
              </w:rPr>
              <w:t>Introduction:</w:t>
            </w:r>
            <w:r w:rsidRPr="00351383">
              <w:rPr>
                <w:rStyle w:val="Hyperlink"/>
                <w:noProof/>
              </w:rPr>
              <w:t xml:space="preserve"> Nowhere to turn 2022</w:t>
            </w:r>
            <w:r>
              <w:rPr>
                <w:noProof/>
                <w:webHidden/>
              </w:rPr>
              <w:tab/>
            </w:r>
            <w:r>
              <w:rPr>
                <w:noProof/>
                <w:webHidden/>
              </w:rPr>
              <w:fldChar w:fldCharType="begin"/>
            </w:r>
            <w:r>
              <w:rPr>
                <w:noProof/>
                <w:webHidden/>
              </w:rPr>
              <w:instrText xml:space="preserve"> PAGEREF _Toc104535743 \h </w:instrText>
            </w:r>
            <w:r>
              <w:rPr>
                <w:noProof/>
                <w:webHidden/>
              </w:rPr>
            </w:r>
            <w:r>
              <w:rPr>
                <w:noProof/>
                <w:webHidden/>
              </w:rPr>
              <w:fldChar w:fldCharType="separate"/>
            </w:r>
            <w:r w:rsidR="008339E6">
              <w:rPr>
                <w:noProof/>
                <w:webHidden/>
              </w:rPr>
              <w:t>9</w:t>
            </w:r>
            <w:r>
              <w:rPr>
                <w:noProof/>
                <w:webHidden/>
              </w:rPr>
              <w:fldChar w:fldCharType="end"/>
            </w:r>
          </w:hyperlink>
        </w:p>
        <w:p w14:paraId="2539134A" w14:textId="10F73BE1" w:rsidR="00021CCD" w:rsidRDefault="00021CCD">
          <w:pPr>
            <w:pStyle w:val="TOC2"/>
            <w:tabs>
              <w:tab w:val="right" w:leader="dot" w:pos="9016"/>
            </w:tabs>
            <w:rPr>
              <w:rFonts w:cs="Shonar Bangla"/>
              <w:noProof/>
              <w:sz w:val="22"/>
              <w:szCs w:val="28"/>
              <w:lang w:eastAsia="en-GB" w:bidi="bn-IN"/>
            </w:rPr>
          </w:pPr>
          <w:hyperlink w:anchor="_Toc104535744" w:history="1">
            <w:r w:rsidRPr="00351383">
              <w:rPr>
                <w:rStyle w:val="Hyperlink"/>
                <w:noProof/>
              </w:rPr>
              <w:t>The No Woman Turned Away (NWTA) project</w:t>
            </w:r>
            <w:r>
              <w:rPr>
                <w:noProof/>
                <w:webHidden/>
              </w:rPr>
              <w:tab/>
            </w:r>
            <w:r>
              <w:rPr>
                <w:noProof/>
                <w:webHidden/>
              </w:rPr>
              <w:fldChar w:fldCharType="begin"/>
            </w:r>
            <w:r>
              <w:rPr>
                <w:noProof/>
                <w:webHidden/>
              </w:rPr>
              <w:instrText xml:space="preserve"> PAGEREF _Toc104535744 \h </w:instrText>
            </w:r>
            <w:r>
              <w:rPr>
                <w:noProof/>
                <w:webHidden/>
              </w:rPr>
            </w:r>
            <w:r>
              <w:rPr>
                <w:noProof/>
                <w:webHidden/>
              </w:rPr>
              <w:fldChar w:fldCharType="separate"/>
            </w:r>
            <w:r w:rsidR="008339E6">
              <w:rPr>
                <w:noProof/>
                <w:webHidden/>
              </w:rPr>
              <w:t>9</w:t>
            </w:r>
            <w:r>
              <w:rPr>
                <w:noProof/>
                <w:webHidden/>
              </w:rPr>
              <w:fldChar w:fldCharType="end"/>
            </w:r>
          </w:hyperlink>
        </w:p>
        <w:p w14:paraId="19A5CC09" w14:textId="3E604C0E" w:rsidR="00021CCD" w:rsidRDefault="00021CCD">
          <w:pPr>
            <w:pStyle w:val="TOC2"/>
            <w:tabs>
              <w:tab w:val="right" w:leader="dot" w:pos="9016"/>
            </w:tabs>
            <w:rPr>
              <w:rFonts w:cs="Shonar Bangla"/>
              <w:noProof/>
              <w:sz w:val="22"/>
              <w:szCs w:val="28"/>
              <w:lang w:eastAsia="en-GB" w:bidi="bn-IN"/>
            </w:rPr>
          </w:pPr>
          <w:hyperlink w:anchor="_Toc104535745" w:history="1">
            <w:r w:rsidRPr="00351383">
              <w:rPr>
                <w:rStyle w:val="Hyperlink"/>
                <w:rFonts w:eastAsia="Times New Roman"/>
                <w:noProof/>
              </w:rPr>
              <w:t>Methodology</w:t>
            </w:r>
            <w:r>
              <w:rPr>
                <w:noProof/>
                <w:webHidden/>
              </w:rPr>
              <w:tab/>
            </w:r>
            <w:r>
              <w:rPr>
                <w:noProof/>
                <w:webHidden/>
              </w:rPr>
              <w:fldChar w:fldCharType="begin"/>
            </w:r>
            <w:r>
              <w:rPr>
                <w:noProof/>
                <w:webHidden/>
              </w:rPr>
              <w:instrText xml:space="preserve"> PAGEREF _Toc104535745 \h </w:instrText>
            </w:r>
            <w:r>
              <w:rPr>
                <w:noProof/>
                <w:webHidden/>
              </w:rPr>
            </w:r>
            <w:r>
              <w:rPr>
                <w:noProof/>
                <w:webHidden/>
              </w:rPr>
              <w:fldChar w:fldCharType="separate"/>
            </w:r>
            <w:r w:rsidR="008339E6">
              <w:rPr>
                <w:noProof/>
                <w:webHidden/>
              </w:rPr>
              <w:t>11</w:t>
            </w:r>
            <w:r>
              <w:rPr>
                <w:noProof/>
                <w:webHidden/>
              </w:rPr>
              <w:fldChar w:fldCharType="end"/>
            </w:r>
          </w:hyperlink>
        </w:p>
        <w:p w14:paraId="08913A0F" w14:textId="6D8CA868" w:rsidR="00021CCD" w:rsidRDefault="00021CCD">
          <w:pPr>
            <w:pStyle w:val="TOC1"/>
            <w:tabs>
              <w:tab w:val="right" w:leader="dot" w:pos="9016"/>
            </w:tabs>
            <w:rPr>
              <w:rFonts w:cs="Shonar Bangla"/>
              <w:noProof/>
              <w:sz w:val="22"/>
              <w:szCs w:val="28"/>
              <w:lang w:eastAsia="en-GB" w:bidi="bn-IN"/>
            </w:rPr>
          </w:pPr>
          <w:hyperlink w:anchor="_Toc104535746" w:history="1">
            <w:r w:rsidRPr="00351383">
              <w:rPr>
                <w:rStyle w:val="Hyperlink"/>
                <w:b/>
                <w:bCs/>
                <w:noProof/>
              </w:rPr>
              <w:t xml:space="preserve">Part 1 - </w:t>
            </w:r>
            <w:r w:rsidRPr="00351383">
              <w:rPr>
                <w:rStyle w:val="Hyperlink"/>
                <w:noProof/>
              </w:rPr>
              <w:t>Referrals into the project</w:t>
            </w:r>
            <w:r>
              <w:rPr>
                <w:noProof/>
                <w:webHidden/>
              </w:rPr>
              <w:tab/>
            </w:r>
            <w:r>
              <w:rPr>
                <w:noProof/>
                <w:webHidden/>
              </w:rPr>
              <w:fldChar w:fldCharType="begin"/>
            </w:r>
            <w:r>
              <w:rPr>
                <w:noProof/>
                <w:webHidden/>
              </w:rPr>
              <w:instrText xml:space="preserve"> PAGEREF _Toc104535746 \h </w:instrText>
            </w:r>
            <w:r>
              <w:rPr>
                <w:noProof/>
                <w:webHidden/>
              </w:rPr>
            </w:r>
            <w:r>
              <w:rPr>
                <w:noProof/>
                <w:webHidden/>
              </w:rPr>
              <w:fldChar w:fldCharType="separate"/>
            </w:r>
            <w:r w:rsidR="008339E6">
              <w:rPr>
                <w:noProof/>
                <w:webHidden/>
              </w:rPr>
              <w:t>13</w:t>
            </w:r>
            <w:r>
              <w:rPr>
                <w:noProof/>
                <w:webHidden/>
              </w:rPr>
              <w:fldChar w:fldCharType="end"/>
            </w:r>
          </w:hyperlink>
        </w:p>
        <w:p w14:paraId="466CFB2F" w14:textId="618A5393" w:rsidR="00021CCD" w:rsidRDefault="00021CCD">
          <w:pPr>
            <w:pStyle w:val="TOC2"/>
            <w:tabs>
              <w:tab w:val="right" w:leader="dot" w:pos="9016"/>
            </w:tabs>
            <w:rPr>
              <w:rFonts w:cs="Shonar Bangla"/>
              <w:noProof/>
              <w:sz w:val="22"/>
              <w:szCs w:val="28"/>
              <w:lang w:eastAsia="en-GB" w:bidi="bn-IN"/>
            </w:rPr>
          </w:pPr>
          <w:hyperlink w:anchor="_Toc104535747" w:history="1">
            <w:r w:rsidRPr="00351383">
              <w:rPr>
                <w:rStyle w:val="Hyperlink"/>
                <w:noProof/>
              </w:rPr>
              <w:t>Referrals</w:t>
            </w:r>
            <w:r>
              <w:rPr>
                <w:noProof/>
                <w:webHidden/>
              </w:rPr>
              <w:tab/>
            </w:r>
            <w:r>
              <w:rPr>
                <w:noProof/>
                <w:webHidden/>
              </w:rPr>
              <w:fldChar w:fldCharType="begin"/>
            </w:r>
            <w:r>
              <w:rPr>
                <w:noProof/>
                <w:webHidden/>
              </w:rPr>
              <w:instrText xml:space="preserve"> PAGEREF _Toc104535747 \h </w:instrText>
            </w:r>
            <w:r>
              <w:rPr>
                <w:noProof/>
                <w:webHidden/>
              </w:rPr>
            </w:r>
            <w:r>
              <w:rPr>
                <w:noProof/>
                <w:webHidden/>
              </w:rPr>
              <w:fldChar w:fldCharType="separate"/>
            </w:r>
            <w:r w:rsidR="008339E6">
              <w:rPr>
                <w:noProof/>
                <w:webHidden/>
              </w:rPr>
              <w:t>13</w:t>
            </w:r>
            <w:r>
              <w:rPr>
                <w:noProof/>
                <w:webHidden/>
              </w:rPr>
              <w:fldChar w:fldCharType="end"/>
            </w:r>
          </w:hyperlink>
        </w:p>
        <w:p w14:paraId="5DED1A95" w14:textId="487F87DF" w:rsidR="00021CCD" w:rsidRDefault="00021CCD">
          <w:pPr>
            <w:pStyle w:val="TOC2"/>
            <w:tabs>
              <w:tab w:val="right" w:leader="dot" w:pos="9016"/>
            </w:tabs>
            <w:rPr>
              <w:rFonts w:cs="Shonar Bangla"/>
              <w:noProof/>
              <w:sz w:val="22"/>
              <w:szCs w:val="28"/>
              <w:lang w:eastAsia="en-GB" w:bidi="bn-IN"/>
            </w:rPr>
          </w:pPr>
          <w:hyperlink w:anchor="_Toc104535748" w:history="1">
            <w:r w:rsidRPr="00351383">
              <w:rPr>
                <w:rStyle w:val="Hyperlink"/>
                <w:noProof/>
              </w:rPr>
              <w:t>Referral sources</w:t>
            </w:r>
            <w:r>
              <w:rPr>
                <w:noProof/>
                <w:webHidden/>
              </w:rPr>
              <w:tab/>
            </w:r>
            <w:r>
              <w:rPr>
                <w:noProof/>
                <w:webHidden/>
              </w:rPr>
              <w:fldChar w:fldCharType="begin"/>
            </w:r>
            <w:r>
              <w:rPr>
                <w:noProof/>
                <w:webHidden/>
              </w:rPr>
              <w:instrText xml:space="preserve"> PAGEREF _Toc104535748 \h </w:instrText>
            </w:r>
            <w:r>
              <w:rPr>
                <w:noProof/>
                <w:webHidden/>
              </w:rPr>
            </w:r>
            <w:r>
              <w:rPr>
                <w:noProof/>
                <w:webHidden/>
              </w:rPr>
              <w:fldChar w:fldCharType="separate"/>
            </w:r>
            <w:r w:rsidR="008339E6">
              <w:rPr>
                <w:noProof/>
                <w:webHidden/>
              </w:rPr>
              <w:t>16</w:t>
            </w:r>
            <w:r>
              <w:rPr>
                <w:noProof/>
                <w:webHidden/>
              </w:rPr>
              <w:fldChar w:fldCharType="end"/>
            </w:r>
          </w:hyperlink>
        </w:p>
        <w:p w14:paraId="6C219E2B" w14:textId="27897138" w:rsidR="00021CCD" w:rsidRDefault="00021CCD">
          <w:pPr>
            <w:pStyle w:val="TOC1"/>
            <w:tabs>
              <w:tab w:val="right" w:leader="dot" w:pos="9016"/>
            </w:tabs>
            <w:rPr>
              <w:rFonts w:cs="Shonar Bangla"/>
              <w:noProof/>
              <w:sz w:val="22"/>
              <w:szCs w:val="28"/>
              <w:lang w:eastAsia="en-GB" w:bidi="bn-IN"/>
            </w:rPr>
          </w:pPr>
          <w:hyperlink w:anchor="_Toc104535749" w:history="1">
            <w:r w:rsidRPr="00351383">
              <w:rPr>
                <w:rStyle w:val="Hyperlink"/>
                <w:b/>
                <w:bCs/>
                <w:noProof/>
              </w:rPr>
              <w:t>Part 2 -</w:t>
            </w:r>
            <w:r w:rsidRPr="00351383">
              <w:rPr>
                <w:rStyle w:val="Hyperlink"/>
                <w:noProof/>
              </w:rPr>
              <w:t xml:space="preserve"> Who did we support and what were survivors’ experiences during their search for a refuge?</w:t>
            </w:r>
            <w:r>
              <w:rPr>
                <w:noProof/>
                <w:webHidden/>
              </w:rPr>
              <w:tab/>
            </w:r>
            <w:r>
              <w:rPr>
                <w:noProof/>
                <w:webHidden/>
              </w:rPr>
              <w:fldChar w:fldCharType="begin"/>
            </w:r>
            <w:r>
              <w:rPr>
                <w:noProof/>
                <w:webHidden/>
              </w:rPr>
              <w:instrText xml:space="preserve"> PAGEREF _Toc104535749 \h </w:instrText>
            </w:r>
            <w:r>
              <w:rPr>
                <w:noProof/>
                <w:webHidden/>
              </w:rPr>
            </w:r>
            <w:r>
              <w:rPr>
                <w:noProof/>
                <w:webHidden/>
              </w:rPr>
              <w:fldChar w:fldCharType="separate"/>
            </w:r>
            <w:r w:rsidR="008339E6">
              <w:rPr>
                <w:noProof/>
                <w:webHidden/>
              </w:rPr>
              <w:t>18</w:t>
            </w:r>
            <w:r>
              <w:rPr>
                <w:noProof/>
                <w:webHidden/>
              </w:rPr>
              <w:fldChar w:fldCharType="end"/>
            </w:r>
          </w:hyperlink>
        </w:p>
        <w:p w14:paraId="60BDC1DE" w14:textId="68A15AE9" w:rsidR="00021CCD" w:rsidRDefault="00021CCD">
          <w:pPr>
            <w:pStyle w:val="TOC2"/>
            <w:tabs>
              <w:tab w:val="right" w:leader="dot" w:pos="9016"/>
            </w:tabs>
            <w:rPr>
              <w:rFonts w:cs="Shonar Bangla"/>
              <w:noProof/>
              <w:sz w:val="22"/>
              <w:szCs w:val="28"/>
              <w:lang w:eastAsia="en-GB" w:bidi="bn-IN"/>
            </w:rPr>
          </w:pPr>
          <w:hyperlink w:anchor="_Toc104535750" w:history="1">
            <w:r w:rsidRPr="00351383">
              <w:rPr>
                <w:rStyle w:val="Hyperlink"/>
                <w:noProof/>
              </w:rPr>
              <w:t>How many women did we support?</w:t>
            </w:r>
            <w:r>
              <w:rPr>
                <w:noProof/>
                <w:webHidden/>
              </w:rPr>
              <w:tab/>
            </w:r>
            <w:r>
              <w:rPr>
                <w:noProof/>
                <w:webHidden/>
              </w:rPr>
              <w:fldChar w:fldCharType="begin"/>
            </w:r>
            <w:r>
              <w:rPr>
                <w:noProof/>
                <w:webHidden/>
              </w:rPr>
              <w:instrText xml:space="preserve"> PAGEREF _Toc104535750 \h </w:instrText>
            </w:r>
            <w:r>
              <w:rPr>
                <w:noProof/>
                <w:webHidden/>
              </w:rPr>
            </w:r>
            <w:r>
              <w:rPr>
                <w:noProof/>
                <w:webHidden/>
              </w:rPr>
              <w:fldChar w:fldCharType="separate"/>
            </w:r>
            <w:r w:rsidR="008339E6">
              <w:rPr>
                <w:noProof/>
                <w:webHidden/>
              </w:rPr>
              <w:t>18</w:t>
            </w:r>
            <w:r>
              <w:rPr>
                <w:noProof/>
                <w:webHidden/>
              </w:rPr>
              <w:fldChar w:fldCharType="end"/>
            </w:r>
          </w:hyperlink>
        </w:p>
        <w:p w14:paraId="6AC3515D" w14:textId="03BDEAA8" w:rsidR="00021CCD" w:rsidRDefault="00021CCD">
          <w:pPr>
            <w:pStyle w:val="TOC2"/>
            <w:tabs>
              <w:tab w:val="right" w:leader="dot" w:pos="9016"/>
            </w:tabs>
            <w:rPr>
              <w:rFonts w:cs="Shonar Bangla"/>
              <w:noProof/>
              <w:sz w:val="22"/>
              <w:szCs w:val="28"/>
              <w:lang w:eastAsia="en-GB" w:bidi="bn-IN"/>
            </w:rPr>
          </w:pPr>
          <w:hyperlink w:anchor="_Toc104535751" w:history="1">
            <w:r w:rsidRPr="00351383">
              <w:rPr>
                <w:rStyle w:val="Hyperlink"/>
                <w:noProof/>
              </w:rPr>
              <w:t>What were women’s experiences of abuse?</w:t>
            </w:r>
            <w:r>
              <w:rPr>
                <w:noProof/>
                <w:webHidden/>
              </w:rPr>
              <w:tab/>
            </w:r>
            <w:r>
              <w:rPr>
                <w:noProof/>
                <w:webHidden/>
              </w:rPr>
              <w:fldChar w:fldCharType="begin"/>
            </w:r>
            <w:r>
              <w:rPr>
                <w:noProof/>
                <w:webHidden/>
              </w:rPr>
              <w:instrText xml:space="preserve"> PAGEREF _Toc104535751 \h </w:instrText>
            </w:r>
            <w:r>
              <w:rPr>
                <w:noProof/>
                <w:webHidden/>
              </w:rPr>
            </w:r>
            <w:r>
              <w:rPr>
                <w:noProof/>
                <w:webHidden/>
              </w:rPr>
              <w:fldChar w:fldCharType="separate"/>
            </w:r>
            <w:r w:rsidR="008339E6">
              <w:rPr>
                <w:noProof/>
                <w:webHidden/>
              </w:rPr>
              <w:t>19</w:t>
            </w:r>
            <w:r>
              <w:rPr>
                <w:noProof/>
                <w:webHidden/>
              </w:rPr>
              <w:fldChar w:fldCharType="end"/>
            </w:r>
          </w:hyperlink>
        </w:p>
        <w:p w14:paraId="62155651" w14:textId="519A1710" w:rsidR="00021CCD" w:rsidRDefault="00021CCD">
          <w:pPr>
            <w:pStyle w:val="TOC2"/>
            <w:tabs>
              <w:tab w:val="right" w:leader="dot" w:pos="9016"/>
            </w:tabs>
            <w:rPr>
              <w:rFonts w:cs="Shonar Bangla"/>
              <w:noProof/>
              <w:sz w:val="22"/>
              <w:szCs w:val="28"/>
              <w:lang w:eastAsia="en-GB" w:bidi="bn-IN"/>
            </w:rPr>
          </w:pPr>
          <w:hyperlink w:anchor="_Toc104535752" w:history="1">
            <w:r w:rsidRPr="00351383">
              <w:rPr>
                <w:rStyle w:val="Hyperlink"/>
                <w:noProof/>
              </w:rPr>
              <w:t>Lucy’s story</w:t>
            </w:r>
            <w:r>
              <w:rPr>
                <w:noProof/>
                <w:webHidden/>
              </w:rPr>
              <w:tab/>
            </w:r>
            <w:r>
              <w:rPr>
                <w:noProof/>
                <w:webHidden/>
              </w:rPr>
              <w:fldChar w:fldCharType="begin"/>
            </w:r>
            <w:r>
              <w:rPr>
                <w:noProof/>
                <w:webHidden/>
              </w:rPr>
              <w:instrText xml:space="preserve"> PAGEREF _Toc104535752 \h </w:instrText>
            </w:r>
            <w:r>
              <w:rPr>
                <w:noProof/>
                <w:webHidden/>
              </w:rPr>
            </w:r>
            <w:r>
              <w:rPr>
                <w:noProof/>
                <w:webHidden/>
              </w:rPr>
              <w:fldChar w:fldCharType="separate"/>
            </w:r>
            <w:r w:rsidR="008339E6">
              <w:rPr>
                <w:noProof/>
                <w:webHidden/>
              </w:rPr>
              <w:t>21</w:t>
            </w:r>
            <w:r>
              <w:rPr>
                <w:noProof/>
                <w:webHidden/>
              </w:rPr>
              <w:fldChar w:fldCharType="end"/>
            </w:r>
          </w:hyperlink>
        </w:p>
        <w:p w14:paraId="679D5317" w14:textId="33650ECB" w:rsidR="00021CCD" w:rsidRDefault="00021CCD">
          <w:pPr>
            <w:pStyle w:val="TOC2"/>
            <w:tabs>
              <w:tab w:val="right" w:leader="dot" w:pos="9016"/>
            </w:tabs>
            <w:rPr>
              <w:rFonts w:cs="Shonar Bangla"/>
              <w:noProof/>
              <w:sz w:val="22"/>
              <w:szCs w:val="28"/>
              <w:lang w:eastAsia="en-GB" w:bidi="bn-IN"/>
            </w:rPr>
          </w:pPr>
          <w:hyperlink w:anchor="_Toc104535753" w:history="1">
            <w:r w:rsidRPr="00351383">
              <w:rPr>
                <w:rStyle w:val="Hyperlink"/>
                <w:noProof/>
              </w:rPr>
              <w:t>Challenges in securing support</w:t>
            </w:r>
            <w:r>
              <w:rPr>
                <w:noProof/>
                <w:webHidden/>
              </w:rPr>
              <w:tab/>
            </w:r>
            <w:r>
              <w:rPr>
                <w:noProof/>
                <w:webHidden/>
              </w:rPr>
              <w:fldChar w:fldCharType="begin"/>
            </w:r>
            <w:r>
              <w:rPr>
                <w:noProof/>
                <w:webHidden/>
              </w:rPr>
              <w:instrText xml:space="preserve"> PAGEREF _Toc104535753 \h </w:instrText>
            </w:r>
            <w:r>
              <w:rPr>
                <w:noProof/>
                <w:webHidden/>
              </w:rPr>
            </w:r>
            <w:r>
              <w:rPr>
                <w:noProof/>
                <w:webHidden/>
              </w:rPr>
              <w:fldChar w:fldCharType="separate"/>
            </w:r>
            <w:r w:rsidR="008339E6">
              <w:rPr>
                <w:noProof/>
                <w:webHidden/>
              </w:rPr>
              <w:t>23</w:t>
            </w:r>
            <w:r>
              <w:rPr>
                <w:noProof/>
                <w:webHidden/>
              </w:rPr>
              <w:fldChar w:fldCharType="end"/>
            </w:r>
          </w:hyperlink>
        </w:p>
        <w:p w14:paraId="19898841" w14:textId="4E65740D" w:rsidR="00021CCD" w:rsidRDefault="00021CCD">
          <w:pPr>
            <w:pStyle w:val="TOC2"/>
            <w:tabs>
              <w:tab w:val="right" w:leader="dot" w:pos="9016"/>
            </w:tabs>
            <w:rPr>
              <w:rFonts w:cs="Shonar Bangla"/>
              <w:noProof/>
              <w:sz w:val="22"/>
              <w:szCs w:val="28"/>
              <w:lang w:eastAsia="en-GB" w:bidi="bn-IN"/>
            </w:rPr>
          </w:pPr>
          <w:hyperlink w:anchor="_Toc104535754" w:history="1">
            <w:r w:rsidRPr="00351383">
              <w:rPr>
                <w:rStyle w:val="Hyperlink"/>
                <w:noProof/>
                <w:lang w:val="en-US"/>
              </w:rPr>
              <w:t>No Recourse to Public Funds</w:t>
            </w:r>
            <w:r>
              <w:rPr>
                <w:noProof/>
                <w:webHidden/>
              </w:rPr>
              <w:tab/>
            </w:r>
            <w:r>
              <w:rPr>
                <w:noProof/>
                <w:webHidden/>
              </w:rPr>
              <w:fldChar w:fldCharType="begin"/>
            </w:r>
            <w:r>
              <w:rPr>
                <w:noProof/>
                <w:webHidden/>
              </w:rPr>
              <w:instrText xml:space="preserve"> PAGEREF _Toc104535754 \h </w:instrText>
            </w:r>
            <w:r>
              <w:rPr>
                <w:noProof/>
                <w:webHidden/>
              </w:rPr>
            </w:r>
            <w:r>
              <w:rPr>
                <w:noProof/>
                <w:webHidden/>
              </w:rPr>
              <w:fldChar w:fldCharType="separate"/>
            </w:r>
            <w:r w:rsidR="008339E6">
              <w:rPr>
                <w:noProof/>
                <w:webHidden/>
              </w:rPr>
              <w:t>27</w:t>
            </w:r>
            <w:r>
              <w:rPr>
                <w:noProof/>
                <w:webHidden/>
              </w:rPr>
              <w:fldChar w:fldCharType="end"/>
            </w:r>
          </w:hyperlink>
        </w:p>
        <w:p w14:paraId="4C3CD27F" w14:textId="228C70AF" w:rsidR="00021CCD" w:rsidRDefault="00021CCD">
          <w:pPr>
            <w:pStyle w:val="TOC2"/>
            <w:tabs>
              <w:tab w:val="right" w:leader="dot" w:pos="9016"/>
            </w:tabs>
            <w:rPr>
              <w:rFonts w:cs="Shonar Bangla"/>
              <w:noProof/>
              <w:sz w:val="22"/>
              <w:szCs w:val="28"/>
              <w:lang w:eastAsia="en-GB" w:bidi="bn-IN"/>
            </w:rPr>
          </w:pPr>
          <w:hyperlink w:anchor="_Toc104535755" w:history="1">
            <w:r w:rsidRPr="00351383">
              <w:rPr>
                <w:rStyle w:val="Hyperlink"/>
                <w:noProof/>
              </w:rPr>
              <w:t>Women from Black and minoritised backgrounds</w:t>
            </w:r>
            <w:r>
              <w:rPr>
                <w:noProof/>
                <w:webHidden/>
              </w:rPr>
              <w:tab/>
            </w:r>
            <w:r>
              <w:rPr>
                <w:noProof/>
                <w:webHidden/>
              </w:rPr>
              <w:fldChar w:fldCharType="begin"/>
            </w:r>
            <w:r>
              <w:rPr>
                <w:noProof/>
                <w:webHidden/>
              </w:rPr>
              <w:instrText xml:space="preserve"> PAGEREF _Toc104535755 \h </w:instrText>
            </w:r>
            <w:r>
              <w:rPr>
                <w:noProof/>
                <w:webHidden/>
              </w:rPr>
            </w:r>
            <w:r>
              <w:rPr>
                <w:noProof/>
                <w:webHidden/>
              </w:rPr>
              <w:fldChar w:fldCharType="separate"/>
            </w:r>
            <w:r w:rsidR="008339E6">
              <w:rPr>
                <w:noProof/>
                <w:webHidden/>
              </w:rPr>
              <w:t>28</w:t>
            </w:r>
            <w:r>
              <w:rPr>
                <w:noProof/>
                <w:webHidden/>
              </w:rPr>
              <w:fldChar w:fldCharType="end"/>
            </w:r>
          </w:hyperlink>
        </w:p>
        <w:p w14:paraId="54642468" w14:textId="21B046BA" w:rsidR="00021CCD" w:rsidRDefault="00021CCD">
          <w:pPr>
            <w:pStyle w:val="TOC2"/>
            <w:tabs>
              <w:tab w:val="right" w:leader="dot" w:pos="9016"/>
            </w:tabs>
            <w:rPr>
              <w:rFonts w:cs="Shonar Bangla"/>
              <w:noProof/>
              <w:sz w:val="22"/>
              <w:szCs w:val="28"/>
              <w:lang w:eastAsia="en-GB" w:bidi="bn-IN"/>
            </w:rPr>
          </w:pPr>
          <w:hyperlink w:anchor="_Toc104535756" w:history="1">
            <w:r w:rsidRPr="00351383">
              <w:rPr>
                <w:rStyle w:val="Hyperlink"/>
                <w:noProof/>
              </w:rPr>
              <w:t>An immigration advisor’s story</w:t>
            </w:r>
            <w:r>
              <w:rPr>
                <w:noProof/>
                <w:webHidden/>
              </w:rPr>
              <w:tab/>
            </w:r>
            <w:r>
              <w:rPr>
                <w:noProof/>
                <w:webHidden/>
              </w:rPr>
              <w:fldChar w:fldCharType="begin"/>
            </w:r>
            <w:r>
              <w:rPr>
                <w:noProof/>
                <w:webHidden/>
              </w:rPr>
              <w:instrText xml:space="preserve"> PAGEREF _Toc104535756 \h </w:instrText>
            </w:r>
            <w:r>
              <w:rPr>
                <w:noProof/>
                <w:webHidden/>
              </w:rPr>
            </w:r>
            <w:r>
              <w:rPr>
                <w:noProof/>
                <w:webHidden/>
              </w:rPr>
              <w:fldChar w:fldCharType="separate"/>
            </w:r>
            <w:r w:rsidR="008339E6">
              <w:rPr>
                <w:noProof/>
                <w:webHidden/>
              </w:rPr>
              <w:t>31</w:t>
            </w:r>
            <w:r>
              <w:rPr>
                <w:noProof/>
                <w:webHidden/>
              </w:rPr>
              <w:fldChar w:fldCharType="end"/>
            </w:r>
          </w:hyperlink>
        </w:p>
        <w:p w14:paraId="20D5948E" w14:textId="54B22CFB" w:rsidR="00021CCD" w:rsidRDefault="00021CCD">
          <w:pPr>
            <w:pStyle w:val="TOC2"/>
            <w:tabs>
              <w:tab w:val="right" w:leader="dot" w:pos="9016"/>
            </w:tabs>
            <w:rPr>
              <w:rFonts w:cs="Shonar Bangla"/>
              <w:noProof/>
              <w:sz w:val="22"/>
              <w:szCs w:val="28"/>
              <w:lang w:eastAsia="en-GB" w:bidi="bn-IN"/>
            </w:rPr>
          </w:pPr>
          <w:hyperlink w:anchor="_Toc104535757" w:history="1">
            <w:r w:rsidRPr="00351383">
              <w:rPr>
                <w:rStyle w:val="Hyperlink"/>
                <w:noProof/>
              </w:rPr>
              <w:t>Where did women stay while they waited for a refuge space?</w:t>
            </w:r>
            <w:r>
              <w:rPr>
                <w:noProof/>
                <w:webHidden/>
              </w:rPr>
              <w:tab/>
            </w:r>
            <w:r>
              <w:rPr>
                <w:noProof/>
                <w:webHidden/>
              </w:rPr>
              <w:fldChar w:fldCharType="begin"/>
            </w:r>
            <w:r>
              <w:rPr>
                <w:noProof/>
                <w:webHidden/>
              </w:rPr>
              <w:instrText xml:space="preserve"> PAGEREF _Toc104535757 \h </w:instrText>
            </w:r>
            <w:r>
              <w:rPr>
                <w:noProof/>
                <w:webHidden/>
              </w:rPr>
            </w:r>
            <w:r>
              <w:rPr>
                <w:noProof/>
                <w:webHidden/>
              </w:rPr>
              <w:fldChar w:fldCharType="separate"/>
            </w:r>
            <w:r w:rsidR="008339E6">
              <w:rPr>
                <w:noProof/>
                <w:webHidden/>
              </w:rPr>
              <w:t>39</w:t>
            </w:r>
            <w:r>
              <w:rPr>
                <w:noProof/>
                <w:webHidden/>
              </w:rPr>
              <w:fldChar w:fldCharType="end"/>
            </w:r>
          </w:hyperlink>
        </w:p>
        <w:p w14:paraId="3CB0DF35" w14:textId="5BB0A03F" w:rsidR="00021CCD" w:rsidRDefault="00021CCD">
          <w:pPr>
            <w:pStyle w:val="TOC2"/>
            <w:tabs>
              <w:tab w:val="right" w:leader="dot" w:pos="9016"/>
            </w:tabs>
            <w:rPr>
              <w:rFonts w:cs="Shonar Bangla"/>
              <w:noProof/>
              <w:sz w:val="22"/>
              <w:szCs w:val="28"/>
              <w:lang w:eastAsia="en-GB" w:bidi="bn-IN"/>
            </w:rPr>
          </w:pPr>
          <w:hyperlink w:anchor="_Toc104535758" w:history="1">
            <w:r w:rsidRPr="00351383">
              <w:rPr>
                <w:rStyle w:val="Hyperlink"/>
                <w:noProof/>
              </w:rPr>
              <w:t>Mixed-sex accommodation</w:t>
            </w:r>
            <w:r>
              <w:rPr>
                <w:noProof/>
                <w:webHidden/>
              </w:rPr>
              <w:tab/>
            </w:r>
            <w:r>
              <w:rPr>
                <w:noProof/>
                <w:webHidden/>
              </w:rPr>
              <w:fldChar w:fldCharType="begin"/>
            </w:r>
            <w:r>
              <w:rPr>
                <w:noProof/>
                <w:webHidden/>
              </w:rPr>
              <w:instrText xml:space="preserve"> PAGEREF _Toc104535758 \h </w:instrText>
            </w:r>
            <w:r>
              <w:rPr>
                <w:noProof/>
                <w:webHidden/>
              </w:rPr>
            </w:r>
            <w:r>
              <w:rPr>
                <w:noProof/>
                <w:webHidden/>
              </w:rPr>
              <w:fldChar w:fldCharType="separate"/>
            </w:r>
            <w:r w:rsidR="008339E6">
              <w:rPr>
                <w:noProof/>
                <w:webHidden/>
              </w:rPr>
              <w:t>42</w:t>
            </w:r>
            <w:r>
              <w:rPr>
                <w:noProof/>
                <w:webHidden/>
              </w:rPr>
              <w:fldChar w:fldCharType="end"/>
            </w:r>
          </w:hyperlink>
        </w:p>
        <w:p w14:paraId="686FC300" w14:textId="07A8F51D" w:rsidR="00021CCD" w:rsidRDefault="00021CCD">
          <w:pPr>
            <w:pStyle w:val="TOC2"/>
            <w:tabs>
              <w:tab w:val="right" w:leader="dot" w:pos="9016"/>
            </w:tabs>
            <w:rPr>
              <w:rFonts w:cs="Shonar Bangla"/>
              <w:noProof/>
              <w:sz w:val="22"/>
              <w:szCs w:val="28"/>
              <w:lang w:eastAsia="en-GB" w:bidi="bn-IN"/>
            </w:rPr>
          </w:pPr>
          <w:hyperlink w:anchor="_Toc104535759" w:history="1">
            <w:r w:rsidRPr="00351383">
              <w:rPr>
                <w:rStyle w:val="Hyperlink"/>
                <w:noProof/>
              </w:rPr>
              <w:t>Jessica’s story</w:t>
            </w:r>
            <w:r>
              <w:rPr>
                <w:noProof/>
                <w:webHidden/>
              </w:rPr>
              <w:tab/>
            </w:r>
            <w:r>
              <w:rPr>
                <w:noProof/>
                <w:webHidden/>
              </w:rPr>
              <w:fldChar w:fldCharType="begin"/>
            </w:r>
            <w:r>
              <w:rPr>
                <w:noProof/>
                <w:webHidden/>
              </w:rPr>
              <w:instrText xml:space="preserve"> PAGEREF _Toc104535759 \h </w:instrText>
            </w:r>
            <w:r>
              <w:rPr>
                <w:noProof/>
                <w:webHidden/>
              </w:rPr>
            </w:r>
            <w:r>
              <w:rPr>
                <w:noProof/>
                <w:webHidden/>
              </w:rPr>
              <w:fldChar w:fldCharType="separate"/>
            </w:r>
            <w:r w:rsidR="008339E6">
              <w:rPr>
                <w:noProof/>
                <w:webHidden/>
              </w:rPr>
              <w:t>44</w:t>
            </w:r>
            <w:r>
              <w:rPr>
                <w:noProof/>
                <w:webHidden/>
              </w:rPr>
              <w:fldChar w:fldCharType="end"/>
            </w:r>
          </w:hyperlink>
        </w:p>
        <w:p w14:paraId="2298D388" w14:textId="0353A07B" w:rsidR="00021CCD" w:rsidRDefault="00021CCD">
          <w:pPr>
            <w:pStyle w:val="TOC2"/>
            <w:tabs>
              <w:tab w:val="right" w:leader="dot" w:pos="9016"/>
            </w:tabs>
            <w:rPr>
              <w:rFonts w:cs="Shonar Bangla"/>
              <w:noProof/>
              <w:sz w:val="22"/>
              <w:szCs w:val="28"/>
              <w:lang w:eastAsia="en-GB" w:bidi="bn-IN"/>
            </w:rPr>
          </w:pPr>
          <w:hyperlink w:anchor="_Toc104535760" w:history="1">
            <w:r w:rsidRPr="00351383">
              <w:rPr>
                <w:rStyle w:val="Hyperlink"/>
                <w:noProof/>
              </w:rPr>
              <w:t>What happened to women whilst they waited for a refuge space?</w:t>
            </w:r>
            <w:r>
              <w:rPr>
                <w:noProof/>
                <w:webHidden/>
              </w:rPr>
              <w:tab/>
            </w:r>
            <w:r>
              <w:rPr>
                <w:noProof/>
                <w:webHidden/>
              </w:rPr>
              <w:fldChar w:fldCharType="begin"/>
            </w:r>
            <w:r>
              <w:rPr>
                <w:noProof/>
                <w:webHidden/>
              </w:rPr>
              <w:instrText xml:space="preserve"> PAGEREF _Toc104535760 \h </w:instrText>
            </w:r>
            <w:r>
              <w:rPr>
                <w:noProof/>
                <w:webHidden/>
              </w:rPr>
            </w:r>
            <w:r>
              <w:rPr>
                <w:noProof/>
                <w:webHidden/>
              </w:rPr>
              <w:fldChar w:fldCharType="separate"/>
            </w:r>
            <w:r w:rsidR="008339E6">
              <w:rPr>
                <w:noProof/>
                <w:webHidden/>
              </w:rPr>
              <w:t>47</w:t>
            </w:r>
            <w:r>
              <w:rPr>
                <w:noProof/>
                <w:webHidden/>
              </w:rPr>
              <w:fldChar w:fldCharType="end"/>
            </w:r>
          </w:hyperlink>
        </w:p>
        <w:p w14:paraId="5BF7DDE6" w14:textId="4FA12046" w:rsidR="00021CCD" w:rsidRDefault="00021CCD">
          <w:pPr>
            <w:pStyle w:val="TOC2"/>
            <w:tabs>
              <w:tab w:val="right" w:leader="dot" w:pos="9016"/>
            </w:tabs>
            <w:rPr>
              <w:rFonts w:cs="Shonar Bangla"/>
              <w:noProof/>
              <w:sz w:val="22"/>
              <w:szCs w:val="28"/>
              <w:lang w:eastAsia="en-GB" w:bidi="bn-IN"/>
            </w:rPr>
          </w:pPr>
          <w:hyperlink w:anchor="_Toc104535761" w:history="1">
            <w:r w:rsidRPr="00351383">
              <w:rPr>
                <w:rStyle w:val="Hyperlink"/>
                <w:noProof/>
                <w:lang w:val="en-US"/>
              </w:rPr>
              <w:t>Survivors’ experiences with statutory services</w:t>
            </w:r>
            <w:r>
              <w:rPr>
                <w:noProof/>
                <w:webHidden/>
              </w:rPr>
              <w:tab/>
            </w:r>
            <w:r>
              <w:rPr>
                <w:noProof/>
                <w:webHidden/>
              </w:rPr>
              <w:fldChar w:fldCharType="begin"/>
            </w:r>
            <w:r>
              <w:rPr>
                <w:noProof/>
                <w:webHidden/>
              </w:rPr>
              <w:instrText xml:space="preserve"> PAGEREF _Toc104535761 \h </w:instrText>
            </w:r>
            <w:r>
              <w:rPr>
                <w:noProof/>
                <w:webHidden/>
              </w:rPr>
            </w:r>
            <w:r>
              <w:rPr>
                <w:noProof/>
                <w:webHidden/>
              </w:rPr>
              <w:fldChar w:fldCharType="separate"/>
            </w:r>
            <w:r w:rsidR="008339E6">
              <w:rPr>
                <w:noProof/>
                <w:webHidden/>
              </w:rPr>
              <w:t>50</w:t>
            </w:r>
            <w:r>
              <w:rPr>
                <w:noProof/>
                <w:webHidden/>
              </w:rPr>
              <w:fldChar w:fldCharType="end"/>
            </w:r>
          </w:hyperlink>
        </w:p>
        <w:p w14:paraId="4F08A40F" w14:textId="43EB803F" w:rsidR="00021CCD" w:rsidRDefault="00021CCD">
          <w:pPr>
            <w:pStyle w:val="TOC2"/>
            <w:tabs>
              <w:tab w:val="right" w:leader="dot" w:pos="9016"/>
            </w:tabs>
            <w:rPr>
              <w:rFonts w:cs="Shonar Bangla"/>
              <w:noProof/>
              <w:sz w:val="22"/>
              <w:szCs w:val="28"/>
              <w:lang w:eastAsia="en-GB" w:bidi="bn-IN"/>
            </w:rPr>
          </w:pPr>
          <w:hyperlink w:anchor="_Toc104535762" w:history="1">
            <w:r w:rsidRPr="00351383">
              <w:rPr>
                <w:rStyle w:val="Hyperlink"/>
                <w:noProof/>
              </w:rPr>
              <w:t>Social services and survivors with NRPF</w:t>
            </w:r>
            <w:r>
              <w:rPr>
                <w:noProof/>
                <w:webHidden/>
              </w:rPr>
              <w:tab/>
            </w:r>
            <w:r>
              <w:rPr>
                <w:noProof/>
                <w:webHidden/>
              </w:rPr>
              <w:fldChar w:fldCharType="begin"/>
            </w:r>
            <w:r>
              <w:rPr>
                <w:noProof/>
                <w:webHidden/>
              </w:rPr>
              <w:instrText xml:space="preserve"> PAGEREF _Toc104535762 \h </w:instrText>
            </w:r>
            <w:r>
              <w:rPr>
                <w:noProof/>
                <w:webHidden/>
              </w:rPr>
            </w:r>
            <w:r>
              <w:rPr>
                <w:noProof/>
                <w:webHidden/>
              </w:rPr>
              <w:fldChar w:fldCharType="separate"/>
            </w:r>
            <w:r w:rsidR="008339E6">
              <w:rPr>
                <w:noProof/>
                <w:webHidden/>
              </w:rPr>
              <w:t>51</w:t>
            </w:r>
            <w:r>
              <w:rPr>
                <w:noProof/>
                <w:webHidden/>
              </w:rPr>
              <w:fldChar w:fldCharType="end"/>
            </w:r>
          </w:hyperlink>
        </w:p>
        <w:p w14:paraId="198AB5AF" w14:textId="73294D4A" w:rsidR="00021CCD" w:rsidRDefault="00021CCD">
          <w:pPr>
            <w:pStyle w:val="TOC2"/>
            <w:tabs>
              <w:tab w:val="right" w:leader="dot" w:pos="9016"/>
            </w:tabs>
            <w:rPr>
              <w:rFonts w:cs="Shonar Bangla"/>
              <w:noProof/>
              <w:sz w:val="22"/>
              <w:szCs w:val="28"/>
              <w:lang w:eastAsia="en-GB" w:bidi="bn-IN"/>
            </w:rPr>
          </w:pPr>
          <w:hyperlink w:anchor="_Toc104535763" w:history="1">
            <w:r w:rsidRPr="00351383">
              <w:rPr>
                <w:rStyle w:val="Hyperlink"/>
                <w:noProof/>
              </w:rPr>
              <w:t>Makena’s</w:t>
            </w:r>
            <w:r w:rsidRPr="00351383">
              <w:rPr>
                <w:rStyle w:val="Hyperlink"/>
                <w:noProof/>
                <w:vertAlign w:val="superscript"/>
              </w:rPr>
              <w:t xml:space="preserve"> </w:t>
            </w:r>
            <w:r w:rsidRPr="00351383">
              <w:rPr>
                <w:rStyle w:val="Hyperlink"/>
                <w:noProof/>
              </w:rPr>
              <w:t>story</w:t>
            </w:r>
            <w:r>
              <w:rPr>
                <w:noProof/>
                <w:webHidden/>
              </w:rPr>
              <w:tab/>
            </w:r>
            <w:r>
              <w:rPr>
                <w:noProof/>
                <w:webHidden/>
              </w:rPr>
              <w:fldChar w:fldCharType="begin"/>
            </w:r>
            <w:r>
              <w:rPr>
                <w:noProof/>
                <w:webHidden/>
              </w:rPr>
              <w:instrText xml:space="preserve"> PAGEREF _Toc104535763 \h </w:instrText>
            </w:r>
            <w:r>
              <w:rPr>
                <w:noProof/>
                <w:webHidden/>
              </w:rPr>
            </w:r>
            <w:r>
              <w:rPr>
                <w:noProof/>
                <w:webHidden/>
              </w:rPr>
              <w:fldChar w:fldCharType="separate"/>
            </w:r>
            <w:r w:rsidR="008339E6">
              <w:rPr>
                <w:noProof/>
                <w:webHidden/>
              </w:rPr>
              <w:t>52</w:t>
            </w:r>
            <w:r>
              <w:rPr>
                <w:noProof/>
                <w:webHidden/>
              </w:rPr>
              <w:fldChar w:fldCharType="end"/>
            </w:r>
          </w:hyperlink>
        </w:p>
        <w:p w14:paraId="7968B311" w14:textId="62C5EAA2" w:rsidR="00021CCD" w:rsidRDefault="00021CCD">
          <w:pPr>
            <w:pStyle w:val="TOC2"/>
            <w:tabs>
              <w:tab w:val="right" w:leader="dot" w:pos="9016"/>
            </w:tabs>
            <w:rPr>
              <w:rFonts w:cs="Shonar Bangla"/>
              <w:noProof/>
              <w:sz w:val="22"/>
              <w:szCs w:val="28"/>
              <w:lang w:eastAsia="en-GB" w:bidi="bn-IN"/>
            </w:rPr>
          </w:pPr>
          <w:hyperlink w:anchor="_Toc104535764" w:history="1">
            <w:r w:rsidRPr="00351383">
              <w:rPr>
                <w:rStyle w:val="Hyperlink"/>
                <w:noProof/>
              </w:rPr>
              <w:t>Interview with a survivor supported by NWTA</w:t>
            </w:r>
            <w:r>
              <w:rPr>
                <w:noProof/>
                <w:webHidden/>
              </w:rPr>
              <w:tab/>
            </w:r>
            <w:r>
              <w:rPr>
                <w:noProof/>
                <w:webHidden/>
              </w:rPr>
              <w:fldChar w:fldCharType="begin"/>
            </w:r>
            <w:r>
              <w:rPr>
                <w:noProof/>
                <w:webHidden/>
              </w:rPr>
              <w:instrText xml:space="preserve"> PAGEREF _Toc104535764 \h </w:instrText>
            </w:r>
            <w:r>
              <w:rPr>
                <w:noProof/>
                <w:webHidden/>
              </w:rPr>
            </w:r>
            <w:r>
              <w:rPr>
                <w:noProof/>
                <w:webHidden/>
              </w:rPr>
              <w:fldChar w:fldCharType="separate"/>
            </w:r>
            <w:r w:rsidR="008339E6">
              <w:rPr>
                <w:noProof/>
                <w:webHidden/>
              </w:rPr>
              <w:t>54</w:t>
            </w:r>
            <w:r>
              <w:rPr>
                <w:noProof/>
                <w:webHidden/>
              </w:rPr>
              <w:fldChar w:fldCharType="end"/>
            </w:r>
          </w:hyperlink>
        </w:p>
        <w:p w14:paraId="40AA91BB" w14:textId="3EF1AACA" w:rsidR="00021CCD" w:rsidRDefault="00021CCD">
          <w:pPr>
            <w:pStyle w:val="TOC1"/>
            <w:tabs>
              <w:tab w:val="right" w:leader="dot" w:pos="9016"/>
            </w:tabs>
            <w:rPr>
              <w:rFonts w:cs="Shonar Bangla"/>
              <w:noProof/>
              <w:sz w:val="22"/>
              <w:szCs w:val="28"/>
              <w:lang w:eastAsia="en-GB" w:bidi="bn-IN"/>
            </w:rPr>
          </w:pPr>
          <w:hyperlink w:anchor="_Toc104535765" w:history="1">
            <w:r w:rsidRPr="00351383">
              <w:rPr>
                <w:rStyle w:val="Hyperlink"/>
                <w:b/>
                <w:bCs/>
                <w:noProof/>
              </w:rPr>
              <w:t>Part 3 -</w:t>
            </w:r>
            <w:r w:rsidRPr="00351383">
              <w:rPr>
                <w:rStyle w:val="Hyperlink"/>
                <w:noProof/>
              </w:rPr>
              <w:t xml:space="preserve"> What support was offered?</w:t>
            </w:r>
            <w:r>
              <w:rPr>
                <w:noProof/>
                <w:webHidden/>
              </w:rPr>
              <w:tab/>
            </w:r>
            <w:r>
              <w:rPr>
                <w:noProof/>
                <w:webHidden/>
              </w:rPr>
              <w:fldChar w:fldCharType="begin"/>
            </w:r>
            <w:r>
              <w:rPr>
                <w:noProof/>
                <w:webHidden/>
              </w:rPr>
              <w:instrText xml:space="preserve"> PAGEREF _Toc104535765 \h </w:instrText>
            </w:r>
            <w:r>
              <w:rPr>
                <w:noProof/>
                <w:webHidden/>
              </w:rPr>
            </w:r>
            <w:r>
              <w:rPr>
                <w:noProof/>
                <w:webHidden/>
              </w:rPr>
              <w:fldChar w:fldCharType="separate"/>
            </w:r>
            <w:r w:rsidR="008339E6">
              <w:rPr>
                <w:noProof/>
                <w:webHidden/>
              </w:rPr>
              <w:t>62</w:t>
            </w:r>
            <w:r>
              <w:rPr>
                <w:noProof/>
                <w:webHidden/>
              </w:rPr>
              <w:fldChar w:fldCharType="end"/>
            </w:r>
          </w:hyperlink>
        </w:p>
        <w:p w14:paraId="6AA584D4" w14:textId="09611E80" w:rsidR="00021CCD" w:rsidRDefault="00021CCD">
          <w:pPr>
            <w:pStyle w:val="TOC2"/>
            <w:tabs>
              <w:tab w:val="right" w:leader="dot" w:pos="9016"/>
            </w:tabs>
            <w:rPr>
              <w:rFonts w:cs="Shonar Bangla"/>
              <w:noProof/>
              <w:sz w:val="22"/>
              <w:szCs w:val="28"/>
              <w:lang w:eastAsia="en-GB" w:bidi="bn-IN"/>
            </w:rPr>
          </w:pPr>
          <w:hyperlink w:anchor="_Toc104535766" w:history="1">
            <w:r w:rsidRPr="00351383">
              <w:rPr>
                <w:rStyle w:val="Hyperlink"/>
                <w:noProof/>
              </w:rPr>
              <w:t>How much support did women receive?</w:t>
            </w:r>
            <w:r>
              <w:rPr>
                <w:noProof/>
                <w:webHidden/>
              </w:rPr>
              <w:tab/>
            </w:r>
            <w:r>
              <w:rPr>
                <w:noProof/>
                <w:webHidden/>
              </w:rPr>
              <w:fldChar w:fldCharType="begin"/>
            </w:r>
            <w:r>
              <w:rPr>
                <w:noProof/>
                <w:webHidden/>
              </w:rPr>
              <w:instrText xml:space="preserve"> PAGEREF _Toc104535766 \h </w:instrText>
            </w:r>
            <w:r>
              <w:rPr>
                <w:noProof/>
                <w:webHidden/>
              </w:rPr>
            </w:r>
            <w:r>
              <w:rPr>
                <w:noProof/>
                <w:webHidden/>
              </w:rPr>
              <w:fldChar w:fldCharType="separate"/>
            </w:r>
            <w:r w:rsidR="008339E6">
              <w:rPr>
                <w:noProof/>
                <w:webHidden/>
              </w:rPr>
              <w:t>62</w:t>
            </w:r>
            <w:r>
              <w:rPr>
                <w:noProof/>
                <w:webHidden/>
              </w:rPr>
              <w:fldChar w:fldCharType="end"/>
            </w:r>
          </w:hyperlink>
        </w:p>
        <w:p w14:paraId="6AE5A74F" w14:textId="22883F86" w:rsidR="00021CCD" w:rsidRDefault="00021CCD">
          <w:pPr>
            <w:pStyle w:val="TOC2"/>
            <w:tabs>
              <w:tab w:val="right" w:leader="dot" w:pos="9016"/>
            </w:tabs>
            <w:rPr>
              <w:rFonts w:cs="Shonar Bangla"/>
              <w:noProof/>
              <w:sz w:val="22"/>
              <w:szCs w:val="28"/>
              <w:lang w:eastAsia="en-GB" w:bidi="bn-IN"/>
            </w:rPr>
          </w:pPr>
          <w:hyperlink w:anchor="_Toc104535767" w:history="1">
            <w:r w:rsidRPr="00351383">
              <w:rPr>
                <w:rStyle w:val="Hyperlink"/>
                <w:noProof/>
              </w:rPr>
              <w:t>What type of support did women receive?</w:t>
            </w:r>
            <w:r>
              <w:rPr>
                <w:noProof/>
                <w:webHidden/>
              </w:rPr>
              <w:tab/>
            </w:r>
            <w:r>
              <w:rPr>
                <w:noProof/>
                <w:webHidden/>
              </w:rPr>
              <w:fldChar w:fldCharType="begin"/>
            </w:r>
            <w:r>
              <w:rPr>
                <w:noProof/>
                <w:webHidden/>
              </w:rPr>
              <w:instrText xml:space="preserve"> PAGEREF _Toc104535767 \h </w:instrText>
            </w:r>
            <w:r>
              <w:rPr>
                <w:noProof/>
                <w:webHidden/>
              </w:rPr>
            </w:r>
            <w:r>
              <w:rPr>
                <w:noProof/>
                <w:webHidden/>
              </w:rPr>
              <w:fldChar w:fldCharType="separate"/>
            </w:r>
            <w:r w:rsidR="008339E6">
              <w:rPr>
                <w:noProof/>
                <w:webHidden/>
              </w:rPr>
              <w:t>63</w:t>
            </w:r>
            <w:r>
              <w:rPr>
                <w:noProof/>
                <w:webHidden/>
              </w:rPr>
              <w:fldChar w:fldCharType="end"/>
            </w:r>
          </w:hyperlink>
        </w:p>
        <w:p w14:paraId="075069EE" w14:textId="080B3080" w:rsidR="00021CCD" w:rsidRDefault="00021CCD">
          <w:pPr>
            <w:pStyle w:val="TOC2"/>
            <w:tabs>
              <w:tab w:val="right" w:leader="dot" w:pos="9016"/>
            </w:tabs>
            <w:rPr>
              <w:rFonts w:cs="Shonar Bangla"/>
              <w:noProof/>
              <w:sz w:val="22"/>
              <w:szCs w:val="28"/>
              <w:lang w:eastAsia="en-GB" w:bidi="bn-IN"/>
            </w:rPr>
          </w:pPr>
          <w:hyperlink w:anchor="_Toc104535768" w:history="1">
            <w:r w:rsidRPr="00351383">
              <w:rPr>
                <w:rStyle w:val="Hyperlink"/>
                <w:noProof/>
              </w:rPr>
              <w:t>What did women receive support with?</w:t>
            </w:r>
            <w:r>
              <w:rPr>
                <w:noProof/>
                <w:webHidden/>
              </w:rPr>
              <w:tab/>
            </w:r>
            <w:r>
              <w:rPr>
                <w:noProof/>
                <w:webHidden/>
              </w:rPr>
              <w:fldChar w:fldCharType="begin"/>
            </w:r>
            <w:r>
              <w:rPr>
                <w:noProof/>
                <w:webHidden/>
              </w:rPr>
              <w:instrText xml:space="preserve"> PAGEREF _Toc104535768 \h </w:instrText>
            </w:r>
            <w:r>
              <w:rPr>
                <w:noProof/>
                <w:webHidden/>
              </w:rPr>
            </w:r>
            <w:r>
              <w:rPr>
                <w:noProof/>
                <w:webHidden/>
              </w:rPr>
              <w:fldChar w:fldCharType="separate"/>
            </w:r>
            <w:r w:rsidR="008339E6">
              <w:rPr>
                <w:noProof/>
                <w:webHidden/>
              </w:rPr>
              <w:t>65</w:t>
            </w:r>
            <w:r>
              <w:rPr>
                <w:noProof/>
                <w:webHidden/>
              </w:rPr>
              <w:fldChar w:fldCharType="end"/>
            </w:r>
          </w:hyperlink>
        </w:p>
        <w:p w14:paraId="32FC760D" w14:textId="14C1B15B" w:rsidR="00021CCD" w:rsidRDefault="00021CCD">
          <w:pPr>
            <w:pStyle w:val="TOC2"/>
            <w:tabs>
              <w:tab w:val="right" w:leader="dot" w:pos="9016"/>
            </w:tabs>
            <w:rPr>
              <w:rFonts w:cs="Shonar Bangla"/>
              <w:noProof/>
              <w:sz w:val="22"/>
              <w:szCs w:val="28"/>
              <w:lang w:eastAsia="en-GB" w:bidi="bn-IN"/>
            </w:rPr>
          </w:pPr>
          <w:hyperlink w:anchor="_Toc104535769" w:history="1">
            <w:r w:rsidRPr="00351383">
              <w:rPr>
                <w:rStyle w:val="Hyperlink"/>
                <w:noProof/>
              </w:rPr>
              <w:t>Interview with an NWTA practitioner</w:t>
            </w:r>
            <w:r>
              <w:rPr>
                <w:noProof/>
                <w:webHidden/>
              </w:rPr>
              <w:tab/>
            </w:r>
            <w:r>
              <w:rPr>
                <w:noProof/>
                <w:webHidden/>
              </w:rPr>
              <w:fldChar w:fldCharType="begin"/>
            </w:r>
            <w:r>
              <w:rPr>
                <w:noProof/>
                <w:webHidden/>
              </w:rPr>
              <w:instrText xml:space="preserve"> PAGEREF _Toc104535769 \h </w:instrText>
            </w:r>
            <w:r>
              <w:rPr>
                <w:noProof/>
                <w:webHidden/>
              </w:rPr>
            </w:r>
            <w:r>
              <w:rPr>
                <w:noProof/>
                <w:webHidden/>
              </w:rPr>
              <w:fldChar w:fldCharType="separate"/>
            </w:r>
            <w:r w:rsidR="008339E6">
              <w:rPr>
                <w:noProof/>
                <w:webHidden/>
              </w:rPr>
              <w:t>68</w:t>
            </w:r>
            <w:r>
              <w:rPr>
                <w:noProof/>
                <w:webHidden/>
              </w:rPr>
              <w:fldChar w:fldCharType="end"/>
            </w:r>
          </w:hyperlink>
        </w:p>
        <w:p w14:paraId="1A49991B" w14:textId="3A622BF9" w:rsidR="00021CCD" w:rsidRDefault="00021CCD">
          <w:pPr>
            <w:pStyle w:val="TOC1"/>
            <w:tabs>
              <w:tab w:val="right" w:leader="dot" w:pos="9016"/>
            </w:tabs>
            <w:rPr>
              <w:rFonts w:cs="Shonar Bangla"/>
              <w:noProof/>
              <w:sz w:val="22"/>
              <w:szCs w:val="28"/>
              <w:lang w:eastAsia="en-GB" w:bidi="bn-IN"/>
            </w:rPr>
          </w:pPr>
          <w:hyperlink w:anchor="_Toc104535770" w:history="1">
            <w:r w:rsidRPr="00351383">
              <w:rPr>
                <w:rStyle w:val="Hyperlink"/>
                <w:b/>
                <w:bCs/>
                <w:noProof/>
              </w:rPr>
              <w:t>Part 4 -</w:t>
            </w:r>
            <w:r w:rsidRPr="00351383">
              <w:rPr>
                <w:rStyle w:val="Hyperlink"/>
                <w:noProof/>
              </w:rPr>
              <w:t xml:space="preserve"> The Impact of the No Woman Turned Away Project</w:t>
            </w:r>
            <w:r>
              <w:rPr>
                <w:noProof/>
                <w:webHidden/>
              </w:rPr>
              <w:tab/>
            </w:r>
            <w:r>
              <w:rPr>
                <w:noProof/>
                <w:webHidden/>
              </w:rPr>
              <w:fldChar w:fldCharType="begin"/>
            </w:r>
            <w:r>
              <w:rPr>
                <w:noProof/>
                <w:webHidden/>
              </w:rPr>
              <w:instrText xml:space="preserve"> PAGEREF _Toc104535770 \h </w:instrText>
            </w:r>
            <w:r>
              <w:rPr>
                <w:noProof/>
                <w:webHidden/>
              </w:rPr>
            </w:r>
            <w:r>
              <w:rPr>
                <w:noProof/>
                <w:webHidden/>
              </w:rPr>
              <w:fldChar w:fldCharType="separate"/>
            </w:r>
            <w:r w:rsidR="008339E6">
              <w:rPr>
                <w:noProof/>
                <w:webHidden/>
              </w:rPr>
              <w:t>78</w:t>
            </w:r>
            <w:r>
              <w:rPr>
                <w:noProof/>
                <w:webHidden/>
              </w:rPr>
              <w:fldChar w:fldCharType="end"/>
            </w:r>
          </w:hyperlink>
        </w:p>
        <w:p w14:paraId="1483661F" w14:textId="529FCE75" w:rsidR="00021CCD" w:rsidRDefault="00021CCD">
          <w:pPr>
            <w:pStyle w:val="TOC2"/>
            <w:tabs>
              <w:tab w:val="right" w:leader="dot" w:pos="9016"/>
            </w:tabs>
            <w:rPr>
              <w:rFonts w:cs="Shonar Bangla"/>
              <w:noProof/>
              <w:sz w:val="22"/>
              <w:szCs w:val="28"/>
              <w:lang w:eastAsia="en-GB" w:bidi="bn-IN"/>
            </w:rPr>
          </w:pPr>
          <w:hyperlink w:anchor="_Toc104535771" w:history="1">
            <w:r w:rsidRPr="00351383">
              <w:rPr>
                <w:rStyle w:val="Hyperlink"/>
                <w:noProof/>
              </w:rPr>
              <w:t>How many women were accommodated in a refuge?</w:t>
            </w:r>
            <w:r>
              <w:rPr>
                <w:noProof/>
                <w:webHidden/>
              </w:rPr>
              <w:tab/>
            </w:r>
            <w:r>
              <w:rPr>
                <w:noProof/>
                <w:webHidden/>
              </w:rPr>
              <w:fldChar w:fldCharType="begin"/>
            </w:r>
            <w:r>
              <w:rPr>
                <w:noProof/>
                <w:webHidden/>
              </w:rPr>
              <w:instrText xml:space="preserve"> PAGEREF _Toc104535771 \h </w:instrText>
            </w:r>
            <w:r>
              <w:rPr>
                <w:noProof/>
                <w:webHidden/>
              </w:rPr>
            </w:r>
            <w:r>
              <w:rPr>
                <w:noProof/>
                <w:webHidden/>
              </w:rPr>
              <w:fldChar w:fldCharType="separate"/>
            </w:r>
            <w:r w:rsidR="008339E6">
              <w:rPr>
                <w:noProof/>
                <w:webHidden/>
              </w:rPr>
              <w:t>78</w:t>
            </w:r>
            <w:r>
              <w:rPr>
                <w:noProof/>
                <w:webHidden/>
              </w:rPr>
              <w:fldChar w:fldCharType="end"/>
            </w:r>
          </w:hyperlink>
        </w:p>
        <w:p w14:paraId="0FF1676A" w14:textId="02C8AA75" w:rsidR="00021CCD" w:rsidRDefault="00021CCD">
          <w:pPr>
            <w:pStyle w:val="TOC2"/>
            <w:tabs>
              <w:tab w:val="right" w:leader="dot" w:pos="9016"/>
            </w:tabs>
            <w:rPr>
              <w:rFonts w:cs="Shonar Bangla"/>
              <w:noProof/>
              <w:sz w:val="22"/>
              <w:szCs w:val="28"/>
              <w:lang w:eastAsia="en-GB" w:bidi="bn-IN"/>
            </w:rPr>
          </w:pPr>
          <w:hyperlink w:anchor="_Toc104535772" w:history="1">
            <w:r w:rsidRPr="00351383">
              <w:rPr>
                <w:rStyle w:val="Hyperlink"/>
                <w:noProof/>
              </w:rPr>
              <w:t>Inequalities in refuge provision</w:t>
            </w:r>
            <w:r>
              <w:rPr>
                <w:noProof/>
                <w:webHidden/>
              </w:rPr>
              <w:tab/>
            </w:r>
            <w:r>
              <w:rPr>
                <w:noProof/>
                <w:webHidden/>
              </w:rPr>
              <w:fldChar w:fldCharType="begin"/>
            </w:r>
            <w:r>
              <w:rPr>
                <w:noProof/>
                <w:webHidden/>
              </w:rPr>
              <w:instrText xml:space="preserve"> PAGEREF _Toc104535772 \h </w:instrText>
            </w:r>
            <w:r>
              <w:rPr>
                <w:noProof/>
                <w:webHidden/>
              </w:rPr>
            </w:r>
            <w:r>
              <w:rPr>
                <w:noProof/>
                <w:webHidden/>
              </w:rPr>
              <w:fldChar w:fldCharType="separate"/>
            </w:r>
            <w:r w:rsidR="008339E6">
              <w:rPr>
                <w:noProof/>
                <w:webHidden/>
              </w:rPr>
              <w:t>81</w:t>
            </w:r>
            <w:r>
              <w:rPr>
                <w:noProof/>
                <w:webHidden/>
              </w:rPr>
              <w:fldChar w:fldCharType="end"/>
            </w:r>
          </w:hyperlink>
        </w:p>
        <w:p w14:paraId="3B19112B" w14:textId="1CBA5AF7" w:rsidR="00021CCD" w:rsidRDefault="00021CCD">
          <w:pPr>
            <w:pStyle w:val="TOC2"/>
            <w:tabs>
              <w:tab w:val="right" w:leader="dot" w:pos="9016"/>
            </w:tabs>
            <w:rPr>
              <w:rFonts w:cs="Shonar Bangla"/>
              <w:noProof/>
              <w:sz w:val="22"/>
              <w:szCs w:val="28"/>
              <w:lang w:eastAsia="en-GB" w:bidi="bn-IN"/>
            </w:rPr>
          </w:pPr>
          <w:hyperlink w:anchor="_Toc104535773" w:history="1">
            <w:r w:rsidRPr="00351383">
              <w:rPr>
                <w:rStyle w:val="Hyperlink"/>
                <w:noProof/>
                <w:lang w:val="en-US"/>
              </w:rPr>
              <w:t>Additional outcomes</w:t>
            </w:r>
            <w:r>
              <w:rPr>
                <w:noProof/>
                <w:webHidden/>
              </w:rPr>
              <w:tab/>
            </w:r>
            <w:r>
              <w:rPr>
                <w:noProof/>
                <w:webHidden/>
              </w:rPr>
              <w:fldChar w:fldCharType="begin"/>
            </w:r>
            <w:r>
              <w:rPr>
                <w:noProof/>
                <w:webHidden/>
              </w:rPr>
              <w:instrText xml:space="preserve"> PAGEREF _Toc104535773 \h </w:instrText>
            </w:r>
            <w:r>
              <w:rPr>
                <w:noProof/>
                <w:webHidden/>
              </w:rPr>
            </w:r>
            <w:r>
              <w:rPr>
                <w:noProof/>
                <w:webHidden/>
              </w:rPr>
              <w:fldChar w:fldCharType="separate"/>
            </w:r>
            <w:r w:rsidR="008339E6">
              <w:rPr>
                <w:noProof/>
                <w:webHidden/>
              </w:rPr>
              <w:t>84</w:t>
            </w:r>
            <w:r>
              <w:rPr>
                <w:noProof/>
                <w:webHidden/>
              </w:rPr>
              <w:fldChar w:fldCharType="end"/>
            </w:r>
          </w:hyperlink>
        </w:p>
        <w:p w14:paraId="4BB47949" w14:textId="27053CEF" w:rsidR="00021CCD" w:rsidRDefault="00021CCD">
          <w:pPr>
            <w:pStyle w:val="TOC2"/>
            <w:tabs>
              <w:tab w:val="right" w:leader="dot" w:pos="9016"/>
            </w:tabs>
            <w:rPr>
              <w:rFonts w:cs="Shonar Bangla"/>
              <w:noProof/>
              <w:sz w:val="22"/>
              <w:szCs w:val="28"/>
              <w:lang w:eastAsia="en-GB" w:bidi="bn-IN"/>
            </w:rPr>
          </w:pPr>
          <w:hyperlink w:anchor="_Toc104535774" w:history="1">
            <w:r w:rsidRPr="00351383">
              <w:rPr>
                <w:rStyle w:val="Hyperlink"/>
                <w:noProof/>
                <w:lang w:val="en-US"/>
              </w:rPr>
              <w:t>Signposting to other services</w:t>
            </w:r>
            <w:r>
              <w:rPr>
                <w:noProof/>
                <w:webHidden/>
              </w:rPr>
              <w:tab/>
            </w:r>
            <w:r>
              <w:rPr>
                <w:noProof/>
                <w:webHidden/>
              </w:rPr>
              <w:fldChar w:fldCharType="begin"/>
            </w:r>
            <w:r>
              <w:rPr>
                <w:noProof/>
                <w:webHidden/>
              </w:rPr>
              <w:instrText xml:space="preserve"> PAGEREF _Toc104535774 \h </w:instrText>
            </w:r>
            <w:r>
              <w:rPr>
                <w:noProof/>
                <w:webHidden/>
              </w:rPr>
            </w:r>
            <w:r>
              <w:rPr>
                <w:noProof/>
                <w:webHidden/>
              </w:rPr>
              <w:fldChar w:fldCharType="separate"/>
            </w:r>
            <w:r w:rsidR="008339E6">
              <w:rPr>
                <w:noProof/>
                <w:webHidden/>
              </w:rPr>
              <w:t>86</w:t>
            </w:r>
            <w:r>
              <w:rPr>
                <w:noProof/>
                <w:webHidden/>
              </w:rPr>
              <w:fldChar w:fldCharType="end"/>
            </w:r>
          </w:hyperlink>
        </w:p>
        <w:p w14:paraId="659DB71D" w14:textId="78A652DE" w:rsidR="00021CCD" w:rsidRDefault="00021CCD">
          <w:pPr>
            <w:pStyle w:val="TOC2"/>
            <w:tabs>
              <w:tab w:val="right" w:leader="dot" w:pos="9016"/>
            </w:tabs>
            <w:rPr>
              <w:rFonts w:cs="Shonar Bangla"/>
              <w:noProof/>
              <w:sz w:val="22"/>
              <w:szCs w:val="28"/>
              <w:lang w:eastAsia="en-GB" w:bidi="bn-IN"/>
            </w:rPr>
          </w:pPr>
          <w:hyperlink w:anchor="_Toc104535775" w:history="1">
            <w:r w:rsidRPr="00351383">
              <w:rPr>
                <w:rStyle w:val="Hyperlink"/>
                <w:noProof/>
              </w:rPr>
              <w:t>Immigration outcomes</w:t>
            </w:r>
            <w:r>
              <w:rPr>
                <w:noProof/>
                <w:webHidden/>
              </w:rPr>
              <w:tab/>
            </w:r>
            <w:r>
              <w:rPr>
                <w:noProof/>
                <w:webHidden/>
              </w:rPr>
              <w:fldChar w:fldCharType="begin"/>
            </w:r>
            <w:r>
              <w:rPr>
                <w:noProof/>
                <w:webHidden/>
              </w:rPr>
              <w:instrText xml:space="preserve"> PAGEREF _Toc104535775 \h </w:instrText>
            </w:r>
            <w:r>
              <w:rPr>
                <w:noProof/>
                <w:webHidden/>
              </w:rPr>
            </w:r>
            <w:r>
              <w:rPr>
                <w:noProof/>
                <w:webHidden/>
              </w:rPr>
              <w:fldChar w:fldCharType="separate"/>
            </w:r>
            <w:r w:rsidR="008339E6">
              <w:rPr>
                <w:noProof/>
                <w:webHidden/>
              </w:rPr>
              <w:t>86</w:t>
            </w:r>
            <w:r>
              <w:rPr>
                <w:noProof/>
                <w:webHidden/>
              </w:rPr>
              <w:fldChar w:fldCharType="end"/>
            </w:r>
          </w:hyperlink>
        </w:p>
        <w:p w14:paraId="6E86CC51" w14:textId="0B3A7E1F" w:rsidR="00021CCD" w:rsidRDefault="00021CCD">
          <w:pPr>
            <w:pStyle w:val="TOC1"/>
            <w:tabs>
              <w:tab w:val="right" w:leader="dot" w:pos="9016"/>
            </w:tabs>
            <w:rPr>
              <w:rFonts w:cs="Shonar Bangla"/>
              <w:noProof/>
              <w:sz w:val="22"/>
              <w:szCs w:val="28"/>
              <w:lang w:eastAsia="en-GB" w:bidi="bn-IN"/>
            </w:rPr>
          </w:pPr>
          <w:hyperlink w:anchor="_Toc104535776" w:history="1">
            <w:r w:rsidRPr="00351383">
              <w:rPr>
                <w:rStyle w:val="Hyperlink"/>
                <w:noProof/>
              </w:rPr>
              <w:t>Conclusion and recommendations</w:t>
            </w:r>
            <w:r>
              <w:rPr>
                <w:noProof/>
                <w:webHidden/>
              </w:rPr>
              <w:tab/>
            </w:r>
            <w:r>
              <w:rPr>
                <w:noProof/>
                <w:webHidden/>
              </w:rPr>
              <w:fldChar w:fldCharType="begin"/>
            </w:r>
            <w:r>
              <w:rPr>
                <w:noProof/>
                <w:webHidden/>
              </w:rPr>
              <w:instrText xml:space="preserve"> PAGEREF _Toc104535776 \h </w:instrText>
            </w:r>
            <w:r>
              <w:rPr>
                <w:noProof/>
                <w:webHidden/>
              </w:rPr>
            </w:r>
            <w:r>
              <w:rPr>
                <w:noProof/>
                <w:webHidden/>
              </w:rPr>
              <w:fldChar w:fldCharType="separate"/>
            </w:r>
            <w:r w:rsidR="008339E6">
              <w:rPr>
                <w:noProof/>
                <w:webHidden/>
              </w:rPr>
              <w:t>88</w:t>
            </w:r>
            <w:r>
              <w:rPr>
                <w:noProof/>
                <w:webHidden/>
              </w:rPr>
              <w:fldChar w:fldCharType="end"/>
            </w:r>
          </w:hyperlink>
        </w:p>
        <w:p w14:paraId="44593823" w14:textId="07649439" w:rsidR="00021CCD" w:rsidRDefault="00021CCD">
          <w:pPr>
            <w:pStyle w:val="TOC2"/>
            <w:tabs>
              <w:tab w:val="right" w:leader="dot" w:pos="9016"/>
            </w:tabs>
            <w:rPr>
              <w:rFonts w:cs="Shonar Bangla"/>
              <w:noProof/>
              <w:sz w:val="22"/>
              <w:szCs w:val="28"/>
              <w:lang w:eastAsia="en-GB" w:bidi="bn-IN"/>
            </w:rPr>
          </w:pPr>
          <w:hyperlink w:anchor="_Toc104535777" w:history="1">
            <w:r w:rsidRPr="00351383">
              <w:rPr>
                <w:rStyle w:val="Hyperlink"/>
                <w:noProof/>
              </w:rPr>
              <w:t>Conclusion</w:t>
            </w:r>
            <w:r>
              <w:rPr>
                <w:noProof/>
                <w:webHidden/>
              </w:rPr>
              <w:tab/>
            </w:r>
            <w:r>
              <w:rPr>
                <w:noProof/>
                <w:webHidden/>
              </w:rPr>
              <w:fldChar w:fldCharType="begin"/>
            </w:r>
            <w:r>
              <w:rPr>
                <w:noProof/>
                <w:webHidden/>
              </w:rPr>
              <w:instrText xml:space="preserve"> PAGEREF _Toc104535777 \h </w:instrText>
            </w:r>
            <w:r>
              <w:rPr>
                <w:noProof/>
                <w:webHidden/>
              </w:rPr>
            </w:r>
            <w:r>
              <w:rPr>
                <w:noProof/>
                <w:webHidden/>
              </w:rPr>
              <w:fldChar w:fldCharType="separate"/>
            </w:r>
            <w:r w:rsidR="008339E6">
              <w:rPr>
                <w:noProof/>
                <w:webHidden/>
              </w:rPr>
              <w:t>88</w:t>
            </w:r>
            <w:r>
              <w:rPr>
                <w:noProof/>
                <w:webHidden/>
              </w:rPr>
              <w:fldChar w:fldCharType="end"/>
            </w:r>
          </w:hyperlink>
        </w:p>
        <w:p w14:paraId="2DCB622B" w14:textId="120B0FF8" w:rsidR="00021CCD" w:rsidRDefault="00021CCD">
          <w:pPr>
            <w:pStyle w:val="TOC2"/>
            <w:tabs>
              <w:tab w:val="right" w:leader="dot" w:pos="9016"/>
            </w:tabs>
            <w:rPr>
              <w:rFonts w:cs="Shonar Bangla"/>
              <w:noProof/>
              <w:sz w:val="22"/>
              <w:szCs w:val="28"/>
              <w:lang w:eastAsia="en-GB" w:bidi="bn-IN"/>
            </w:rPr>
          </w:pPr>
          <w:hyperlink w:anchor="_Toc104535778" w:history="1">
            <w:r w:rsidRPr="00351383">
              <w:rPr>
                <w:rStyle w:val="Hyperlink"/>
                <w:noProof/>
              </w:rPr>
              <w:t>Recommendations</w:t>
            </w:r>
            <w:r>
              <w:rPr>
                <w:noProof/>
                <w:webHidden/>
              </w:rPr>
              <w:tab/>
            </w:r>
            <w:r>
              <w:rPr>
                <w:noProof/>
                <w:webHidden/>
              </w:rPr>
              <w:fldChar w:fldCharType="begin"/>
            </w:r>
            <w:r>
              <w:rPr>
                <w:noProof/>
                <w:webHidden/>
              </w:rPr>
              <w:instrText xml:space="preserve"> PAGEREF _Toc104535778 \h </w:instrText>
            </w:r>
            <w:r>
              <w:rPr>
                <w:noProof/>
                <w:webHidden/>
              </w:rPr>
            </w:r>
            <w:r>
              <w:rPr>
                <w:noProof/>
                <w:webHidden/>
              </w:rPr>
              <w:fldChar w:fldCharType="separate"/>
            </w:r>
            <w:r w:rsidR="008339E6">
              <w:rPr>
                <w:noProof/>
                <w:webHidden/>
              </w:rPr>
              <w:t>91</w:t>
            </w:r>
            <w:r>
              <w:rPr>
                <w:noProof/>
                <w:webHidden/>
              </w:rPr>
              <w:fldChar w:fldCharType="end"/>
            </w:r>
          </w:hyperlink>
        </w:p>
        <w:p w14:paraId="6E81E216" w14:textId="6870E6FA" w:rsidR="00021CCD" w:rsidRDefault="00021CCD">
          <w:pPr>
            <w:pStyle w:val="TOC1"/>
            <w:tabs>
              <w:tab w:val="right" w:leader="dot" w:pos="9016"/>
            </w:tabs>
            <w:rPr>
              <w:rFonts w:cs="Shonar Bangla"/>
              <w:noProof/>
              <w:sz w:val="22"/>
              <w:szCs w:val="28"/>
              <w:lang w:eastAsia="en-GB" w:bidi="bn-IN"/>
            </w:rPr>
          </w:pPr>
          <w:hyperlink w:anchor="_Toc104535779" w:history="1">
            <w:r w:rsidRPr="00351383">
              <w:rPr>
                <w:rStyle w:val="Hyperlink"/>
                <w:noProof/>
              </w:rPr>
              <w:t>References</w:t>
            </w:r>
            <w:r>
              <w:rPr>
                <w:noProof/>
                <w:webHidden/>
              </w:rPr>
              <w:tab/>
            </w:r>
            <w:r>
              <w:rPr>
                <w:noProof/>
                <w:webHidden/>
              </w:rPr>
              <w:fldChar w:fldCharType="begin"/>
            </w:r>
            <w:r>
              <w:rPr>
                <w:noProof/>
                <w:webHidden/>
              </w:rPr>
              <w:instrText xml:space="preserve"> PAGEREF _Toc104535779 \h </w:instrText>
            </w:r>
            <w:r>
              <w:rPr>
                <w:noProof/>
                <w:webHidden/>
              </w:rPr>
            </w:r>
            <w:r>
              <w:rPr>
                <w:noProof/>
                <w:webHidden/>
              </w:rPr>
              <w:fldChar w:fldCharType="separate"/>
            </w:r>
            <w:r w:rsidR="008339E6">
              <w:rPr>
                <w:noProof/>
                <w:webHidden/>
              </w:rPr>
              <w:t>95</w:t>
            </w:r>
            <w:r>
              <w:rPr>
                <w:noProof/>
                <w:webHidden/>
              </w:rPr>
              <w:fldChar w:fldCharType="end"/>
            </w:r>
          </w:hyperlink>
        </w:p>
        <w:p w14:paraId="5098431D" w14:textId="6BD087C2" w:rsidR="005A0709" w:rsidRPr="00A544B3" w:rsidRDefault="00021CCD" w:rsidP="00A544B3">
          <w:pPr>
            <w:pStyle w:val="TOC1"/>
            <w:tabs>
              <w:tab w:val="right" w:leader="dot" w:pos="9016"/>
            </w:tabs>
            <w:rPr>
              <w:rFonts w:cs="Shonar Bangla"/>
              <w:noProof/>
              <w:sz w:val="22"/>
              <w:szCs w:val="28"/>
              <w:lang w:eastAsia="en-GB" w:bidi="bn-IN"/>
            </w:rPr>
          </w:pPr>
          <w:hyperlink w:anchor="_Toc104535780" w:history="1">
            <w:r w:rsidRPr="00351383">
              <w:rPr>
                <w:rStyle w:val="Hyperlink"/>
                <w:b/>
                <w:bCs/>
                <w:noProof/>
              </w:rPr>
              <w:t>Appendix 1:</w:t>
            </w:r>
            <w:r w:rsidRPr="00351383">
              <w:rPr>
                <w:rStyle w:val="Hyperlink"/>
                <w:noProof/>
              </w:rPr>
              <w:t xml:space="preserve"> Profile of women supported by the NWTA specialist practitioners</w:t>
            </w:r>
            <w:r>
              <w:rPr>
                <w:noProof/>
                <w:webHidden/>
              </w:rPr>
              <w:tab/>
            </w:r>
            <w:r>
              <w:rPr>
                <w:noProof/>
                <w:webHidden/>
              </w:rPr>
              <w:fldChar w:fldCharType="begin"/>
            </w:r>
            <w:r>
              <w:rPr>
                <w:noProof/>
                <w:webHidden/>
              </w:rPr>
              <w:instrText xml:space="preserve"> PAGEREF _Toc104535780 \h </w:instrText>
            </w:r>
            <w:r>
              <w:rPr>
                <w:noProof/>
                <w:webHidden/>
              </w:rPr>
            </w:r>
            <w:r>
              <w:rPr>
                <w:noProof/>
                <w:webHidden/>
              </w:rPr>
              <w:fldChar w:fldCharType="separate"/>
            </w:r>
            <w:r w:rsidR="008339E6">
              <w:rPr>
                <w:noProof/>
                <w:webHidden/>
              </w:rPr>
              <w:t>99</w:t>
            </w:r>
            <w:r>
              <w:rPr>
                <w:noProof/>
                <w:webHidden/>
              </w:rPr>
              <w:fldChar w:fldCharType="end"/>
            </w:r>
          </w:hyperlink>
          <w:r w:rsidR="00A544B3">
            <w:fldChar w:fldCharType="end"/>
          </w:r>
        </w:p>
      </w:sdtContent>
    </w:sdt>
    <w:p w14:paraId="7C5386AC" w14:textId="77777777" w:rsidR="00B50D4C" w:rsidRPr="00493AC6" w:rsidRDefault="00B50D4C" w:rsidP="007E72F1">
      <w:pPr>
        <w:rPr>
          <w:rFonts w:ascii="Open Sans" w:hAnsi="Open Sans" w:cs="Open Sans"/>
          <w:sz w:val="18"/>
          <w:szCs w:val="18"/>
        </w:rPr>
      </w:pPr>
      <w:r w:rsidRPr="00493AC6">
        <w:rPr>
          <w:rFonts w:ascii="Open Sans" w:hAnsi="Open Sans" w:cs="Open Sans"/>
          <w:sz w:val="18"/>
          <w:szCs w:val="18"/>
        </w:rPr>
        <w:br w:type="page"/>
      </w:r>
    </w:p>
    <w:p w14:paraId="056EDAA5" w14:textId="004D00FB" w:rsidR="00A544B3" w:rsidRDefault="00A544B3" w:rsidP="00A544B3">
      <w:pPr>
        <w:pStyle w:val="Heading1"/>
      </w:pPr>
      <w:bookmarkStart w:id="12" w:name="_Toc97195814"/>
      <w:bookmarkStart w:id="13" w:name="_Toc104535742"/>
      <w:r>
        <w:lastRenderedPageBreak/>
        <w:t>Summary of findings</w:t>
      </w:r>
      <w:bookmarkEnd w:id="13"/>
    </w:p>
    <w:p w14:paraId="02000DB6" w14:textId="77777777" w:rsidR="00193493" w:rsidRPr="00330715" w:rsidRDefault="00193493" w:rsidP="00330715">
      <w:pPr>
        <w:pStyle w:val="ListParagraph"/>
        <w:numPr>
          <w:ilvl w:val="0"/>
          <w:numId w:val="34"/>
        </w:numPr>
        <w:rPr>
          <w:sz w:val="22"/>
          <w:lang w:val="en-US"/>
        </w:rPr>
      </w:pPr>
      <w:r w:rsidRPr="00330715">
        <w:rPr>
          <w:b/>
          <w:bCs/>
          <w:lang w:val="en-US"/>
        </w:rPr>
        <w:t>184 women</w:t>
      </w:r>
      <w:r w:rsidRPr="00330715">
        <w:rPr>
          <w:lang w:val="en-US"/>
        </w:rPr>
        <w:t xml:space="preserve"> were supported by the NWTA project this year.</w:t>
      </w:r>
    </w:p>
    <w:p w14:paraId="571AACE6" w14:textId="77777777" w:rsidR="00193493" w:rsidRPr="00330715" w:rsidRDefault="00193493" w:rsidP="00330715">
      <w:pPr>
        <w:pStyle w:val="ListParagraph"/>
        <w:numPr>
          <w:ilvl w:val="0"/>
          <w:numId w:val="34"/>
        </w:numPr>
        <w:rPr>
          <w:lang w:val="en-US"/>
        </w:rPr>
      </w:pPr>
      <w:r w:rsidRPr="00330715">
        <w:rPr>
          <w:b/>
          <w:bCs/>
          <w:lang w:val="en-US"/>
        </w:rPr>
        <w:t>34.9%</w:t>
      </w:r>
      <w:r w:rsidRPr="00330715">
        <w:rPr>
          <w:lang w:val="en-US"/>
        </w:rPr>
        <w:t xml:space="preserve"> of the women who were supported were Black and minoritised women, reflecting the structural inequalities that they face when escaping domestic abuse.</w:t>
      </w:r>
    </w:p>
    <w:p w14:paraId="3567CCB9" w14:textId="77777777" w:rsidR="00193493" w:rsidRDefault="00193493" w:rsidP="00330715">
      <w:pPr>
        <w:pStyle w:val="ListParagraph"/>
        <w:numPr>
          <w:ilvl w:val="0"/>
          <w:numId w:val="34"/>
        </w:numPr>
      </w:pPr>
      <w:r>
        <w:t>While waiting for a refuge space:</w:t>
      </w:r>
    </w:p>
    <w:p w14:paraId="6A25A587" w14:textId="77777777" w:rsidR="00193493" w:rsidRPr="00330715" w:rsidRDefault="00193493" w:rsidP="00642299">
      <w:pPr>
        <w:pStyle w:val="ListParagraph"/>
        <w:numPr>
          <w:ilvl w:val="1"/>
          <w:numId w:val="34"/>
        </w:numPr>
        <w:rPr>
          <w:rFonts w:ascii="Open Sans" w:hAnsi="Open Sans" w:cs="Open Sans"/>
          <w:color w:val="262626" w:themeColor="text1"/>
        </w:rPr>
      </w:pPr>
      <w:r w:rsidRPr="00330715">
        <w:rPr>
          <w:b/>
          <w:bCs/>
        </w:rPr>
        <w:t>60</w:t>
      </w:r>
      <w:r>
        <w:t xml:space="preserve"> women experienced further abuse from the perpetrator(s). </w:t>
      </w:r>
    </w:p>
    <w:p w14:paraId="414C2175" w14:textId="77777777" w:rsidR="00193493" w:rsidRDefault="00193493" w:rsidP="00642299">
      <w:pPr>
        <w:pStyle w:val="ListParagraph"/>
        <w:numPr>
          <w:ilvl w:val="1"/>
          <w:numId w:val="34"/>
        </w:numPr>
      </w:pPr>
      <w:r w:rsidRPr="00330715">
        <w:rPr>
          <w:b/>
          <w:bCs/>
        </w:rPr>
        <w:t>40</w:t>
      </w:r>
      <w:r>
        <w:t xml:space="preserve"> women sofa-surfed.</w:t>
      </w:r>
    </w:p>
    <w:p w14:paraId="20AC512F" w14:textId="77777777" w:rsidR="00193493" w:rsidRDefault="00193493" w:rsidP="00642299">
      <w:pPr>
        <w:pStyle w:val="ListParagraph"/>
        <w:numPr>
          <w:ilvl w:val="1"/>
          <w:numId w:val="34"/>
        </w:numPr>
      </w:pPr>
      <w:r w:rsidRPr="00330715">
        <w:rPr>
          <w:b/>
          <w:bCs/>
        </w:rPr>
        <w:t>24</w:t>
      </w:r>
      <w:r>
        <w:t xml:space="preserve"> women experienced abuse from (an) additional perpetrator(s).</w:t>
      </w:r>
    </w:p>
    <w:p w14:paraId="0DB33D16" w14:textId="77777777" w:rsidR="00193493" w:rsidRDefault="00193493" w:rsidP="00642299">
      <w:pPr>
        <w:pStyle w:val="ListParagraph"/>
        <w:numPr>
          <w:ilvl w:val="1"/>
          <w:numId w:val="34"/>
        </w:numPr>
      </w:pPr>
      <w:r w:rsidRPr="00330715">
        <w:rPr>
          <w:b/>
          <w:bCs/>
        </w:rPr>
        <w:t>10</w:t>
      </w:r>
      <w:r>
        <w:t xml:space="preserve"> women were physically injured as a result of an attack by the perpetrator(s).</w:t>
      </w:r>
    </w:p>
    <w:p w14:paraId="303B33A2" w14:textId="77777777" w:rsidR="00193493" w:rsidRDefault="00193493" w:rsidP="00642299">
      <w:pPr>
        <w:pStyle w:val="ListParagraph"/>
        <w:numPr>
          <w:ilvl w:val="1"/>
          <w:numId w:val="34"/>
        </w:numPr>
      </w:pPr>
      <w:r w:rsidRPr="00330715">
        <w:rPr>
          <w:b/>
          <w:bCs/>
        </w:rPr>
        <w:t>6</w:t>
      </w:r>
      <w:r>
        <w:t xml:space="preserve"> women slept rough.</w:t>
      </w:r>
    </w:p>
    <w:p w14:paraId="6A38A1FE" w14:textId="77777777" w:rsidR="00193493" w:rsidRPr="00330715" w:rsidRDefault="00193493" w:rsidP="00330715">
      <w:pPr>
        <w:pStyle w:val="ListParagraph"/>
        <w:numPr>
          <w:ilvl w:val="0"/>
          <w:numId w:val="34"/>
        </w:numPr>
        <w:rPr>
          <w:lang w:val="en-US"/>
        </w:rPr>
      </w:pPr>
      <w:r w:rsidRPr="00330715">
        <w:rPr>
          <w:lang w:val="en-US"/>
        </w:rPr>
        <w:t xml:space="preserve">The NWTA specialist practitioners provided an average of </w:t>
      </w:r>
      <w:r w:rsidRPr="00330715">
        <w:rPr>
          <w:b/>
          <w:bCs/>
          <w:lang w:val="en-US"/>
        </w:rPr>
        <w:t>4 hours and 57 minutes</w:t>
      </w:r>
      <w:r w:rsidRPr="00330715">
        <w:rPr>
          <w:lang w:val="en-US"/>
        </w:rPr>
        <w:t xml:space="preserve"> of support to each survivor. The main areas of specialist support included housing, signposting, immigration support, emotional support, children, finances, safety planning, and support with mental health.</w:t>
      </w:r>
    </w:p>
    <w:p w14:paraId="19AB8CCE" w14:textId="77777777" w:rsidR="00193493" w:rsidRDefault="00193493" w:rsidP="00330715">
      <w:pPr>
        <w:pStyle w:val="ListParagraph"/>
        <w:numPr>
          <w:ilvl w:val="0"/>
          <w:numId w:val="34"/>
        </w:numPr>
      </w:pPr>
      <w:r>
        <w:t xml:space="preserve">Women referred on the basis of NRPF were supported for </w:t>
      </w:r>
      <w:r w:rsidRPr="00330715">
        <w:rPr>
          <w:b/>
          <w:bCs/>
        </w:rPr>
        <w:t>five days longer</w:t>
      </w:r>
      <w:r>
        <w:t xml:space="preserve"> on average than women who were known to have access to state benefits at the point of referral. </w:t>
      </w:r>
    </w:p>
    <w:p w14:paraId="65457427" w14:textId="2EDB0FF2" w:rsidR="00193493" w:rsidRDefault="00642299" w:rsidP="00330715">
      <w:pPr>
        <w:pStyle w:val="ListParagraph"/>
        <w:numPr>
          <w:ilvl w:val="0"/>
          <w:numId w:val="34"/>
        </w:numPr>
      </w:pPr>
      <w:r>
        <w:t>Some outcomes were:</w:t>
      </w:r>
    </w:p>
    <w:p w14:paraId="3485FAA6" w14:textId="77777777" w:rsidR="00193493" w:rsidRPr="00330715" w:rsidRDefault="00193493" w:rsidP="00642299">
      <w:pPr>
        <w:pStyle w:val="ListParagraph"/>
        <w:numPr>
          <w:ilvl w:val="1"/>
          <w:numId w:val="34"/>
        </w:numPr>
        <w:rPr>
          <w:rFonts w:ascii="Open Sans" w:hAnsi="Open Sans" w:cs="Open Sans"/>
          <w:color w:val="262626" w:themeColor="text1"/>
        </w:rPr>
      </w:pPr>
      <w:r w:rsidRPr="00330715">
        <w:rPr>
          <w:b/>
          <w:bCs/>
        </w:rPr>
        <w:t>25.5%</w:t>
      </w:r>
      <w:r>
        <w:t xml:space="preserve"> of women secured a place in a suitable refuge.</w:t>
      </w:r>
    </w:p>
    <w:p w14:paraId="12ED7D29" w14:textId="77777777" w:rsidR="00193493" w:rsidRDefault="00193493" w:rsidP="00642299">
      <w:pPr>
        <w:pStyle w:val="ListParagraph"/>
        <w:numPr>
          <w:ilvl w:val="1"/>
          <w:numId w:val="34"/>
        </w:numPr>
      </w:pPr>
      <w:r w:rsidRPr="00330715">
        <w:rPr>
          <w:b/>
          <w:bCs/>
        </w:rPr>
        <w:lastRenderedPageBreak/>
        <w:t>19.0%</w:t>
      </w:r>
      <w:r>
        <w:t xml:space="preserve"> found emergency accommodation.</w:t>
      </w:r>
    </w:p>
    <w:p w14:paraId="3BE752FB" w14:textId="77777777" w:rsidR="00193493" w:rsidRDefault="00193493" w:rsidP="00642299">
      <w:pPr>
        <w:pStyle w:val="ListParagraph"/>
        <w:numPr>
          <w:ilvl w:val="1"/>
          <w:numId w:val="34"/>
        </w:numPr>
      </w:pPr>
      <w:r w:rsidRPr="00330715">
        <w:rPr>
          <w:b/>
          <w:bCs/>
        </w:rPr>
        <w:t>83.1%</w:t>
      </w:r>
      <w:r>
        <w:t xml:space="preserve"> of the 124 survivors we were able ask reported feeling safe after having been supported by NWTA.</w:t>
      </w:r>
    </w:p>
    <w:p w14:paraId="26AA95B5" w14:textId="78E5EE0C" w:rsidR="00A544B3" w:rsidRPr="00330715" w:rsidRDefault="00193493" w:rsidP="00642299">
      <w:pPr>
        <w:pStyle w:val="ListParagraph"/>
        <w:numPr>
          <w:ilvl w:val="1"/>
          <w:numId w:val="34"/>
        </w:numPr>
        <w:rPr>
          <w:color w:val="414042"/>
        </w:rPr>
      </w:pPr>
      <w:r>
        <w:t>The support does not end here</w:t>
      </w:r>
      <w:r w:rsidRPr="00330715">
        <w:rPr>
          <w:b/>
          <w:bCs/>
        </w:rPr>
        <w:t>: 84 women</w:t>
      </w:r>
      <w:r>
        <w:t xml:space="preserve"> went on to be supported by a local VAWG organisation, and </w:t>
      </w:r>
      <w:r w:rsidRPr="00330715">
        <w:rPr>
          <w:b/>
          <w:bCs/>
        </w:rPr>
        <w:t>74 women</w:t>
      </w:r>
      <w:r>
        <w:t xml:space="preserve"> went on to be supported by a non-VAWG organisation after finishing their work with NWTA.</w:t>
      </w:r>
      <w:r w:rsidR="00A544B3">
        <w:br w:type="page"/>
      </w:r>
    </w:p>
    <w:p w14:paraId="2B627E34" w14:textId="3CEB3705" w:rsidR="00F40455" w:rsidRPr="00493AC6" w:rsidRDefault="00EA7152" w:rsidP="007E72F1">
      <w:pPr>
        <w:pStyle w:val="Heading1"/>
      </w:pPr>
      <w:bookmarkStart w:id="14" w:name="_Toc104535743"/>
      <w:r w:rsidRPr="00493AC6">
        <w:rPr>
          <w:b/>
          <w:bCs/>
        </w:rPr>
        <w:lastRenderedPageBreak/>
        <w:t>Introduction</w:t>
      </w:r>
      <w:r w:rsidR="009802B4" w:rsidRPr="00493AC6">
        <w:rPr>
          <w:b/>
          <w:bCs/>
        </w:rPr>
        <w:t>:</w:t>
      </w:r>
      <w:r w:rsidR="009802B4" w:rsidRPr="00493AC6">
        <w:t xml:space="preserve"> Nowhere to turn 2022</w:t>
      </w:r>
      <w:bookmarkEnd w:id="14"/>
    </w:p>
    <w:p w14:paraId="6BE8D654" w14:textId="7ED5251A" w:rsidR="00145100" w:rsidRPr="00493AC6" w:rsidRDefault="00846FF1" w:rsidP="007E72F1">
      <w:pPr>
        <w:spacing w:after="240"/>
        <w:rPr>
          <w:rFonts w:ascii="Open Sans" w:hAnsi="Open Sans" w:cs="Open Sans"/>
        </w:rPr>
      </w:pPr>
      <w:r w:rsidRPr="00493AC6">
        <w:rPr>
          <w:rFonts w:ascii="Open Sans" w:hAnsi="Open Sans" w:cs="Open Sans"/>
        </w:rPr>
        <w:t xml:space="preserve">The findings within this report demonstrate the key role that the No Woman Turned Away (NWTA) project plays in supporting survivors facing barriers to gaining a refuge space to access safe accommodation. Adding to our evidence base from previous Nowhere to Turn reports, this inquiry brings to light the barriers and structural inequalities that many survivors are forced to navigate when seeking safety from domestic abuse. </w:t>
      </w:r>
    </w:p>
    <w:p w14:paraId="571BC8CC" w14:textId="2F0ADD67" w:rsidR="0085560C" w:rsidRDefault="00846FF1" w:rsidP="007E72F1">
      <w:pPr>
        <w:spacing w:after="240"/>
        <w:rPr>
          <w:rFonts w:ascii="Open Sans" w:hAnsi="Open Sans" w:cs="Open Sans"/>
        </w:rPr>
      </w:pPr>
      <w:r w:rsidRPr="00493AC6">
        <w:rPr>
          <w:rFonts w:ascii="Open Sans" w:hAnsi="Open Sans" w:cs="Open Sans"/>
        </w:rPr>
        <w:t>This report evaluates the NWTA project over the year of 2021 (1</w:t>
      </w:r>
      <w:r w:rsidRPr="00493AC6">
        <w:rPr>
          <w:rFonts w:ascii="Open Sans" w:hAnsi="Open Sans" w:cs="Open Sans"/>
          <w:vertAlign w:val="superscript"/>
        </w:rPr>
        <w:t>st</w:t>
      </w:r>
      <w:r w:rsidRPr="00493AC6">
        <w:rPr>
          <w:rFonts w:ascii="Open Sans" w:hAnsi="Open Sans" w:cs="Open Sans"/>
        </w:rPr>
        <w:t xml:space="preserve"> January 2021 until 31</w:t>
      </w:r>
      <w:r w:rsidRPr="00493AC6">
        <w:rPr>
          <w:rFonts w:ascii="Open Sans" w:hAnsi="Open Sans" w:cs="Open Sans"/>
          <w:vertAlign w:val="superscript"/>
        </w:rPr>
        <w:t>st</w:t>
      </w:r>
      <w:r w:rsidRPr="00493AC6">
        <w:rPr>
          <w:rFonts w:ascii="Open Sans" w:hAnsi="Open Sans" w:cs="Open Sans"/>
        </w:rPr>
        <w:t xml:space="preserve"> December 2021)</w:t>
      </w:r>
      <w:r w:rsidR="00145100" w:rsidRPr="00493AC6">
        <w:rPr>
          <w:rFonts w:ascii="Open Sans" w:hAnsi="Open Sans" w:cs="Open Sans"/>
        </w:rPr>
        <w:t xml:space="preserve">. </w:t>
      </w:r>
      <w:r w:rsidR="006E2971" w:rsidRPr="00493AC6">
        <w:rPr>
          <w:rFonts w:ascii="Open Sans" w:hAnsi="Open Sans" w:cs="Open Sans"/>
        </w:rPr>
        <w:t>We examine</w:t>
      </w:r>
      <w:r w:rsidR="00217C84" w:rsidRPr="00493AC6">
        <w:rPr>
          <w:rFonts w:ascii="Open Sans" w:hAnsi="Open Sans" w:cs="Open Sans"/>
        </w:rPr>
        <w:t xml:space="preserve"> the support pro</w:t>
      </w:r>
      <w:r w:rsidR="00AA4FDA" w:rsidRPr="00493AC6">
        <w:rPr>
          <w:rFonts w:ascii="Open Sans" w:hAnsi="Open Sans" w:cs="Open Sans"/>
        </w:rPr>
        <w:t>vided to the survivors helped</w:t>
      </w:r>
      <w:r w:rsidR="00217C84" w:rsidRPr="00493AC6">
        <w:rPr>
          <w:rFonts w:ascii="Open Sans" w:hAnsi="Open Sans" w:cs="Open Sans"/>
        </w:rPr>
        <w:t xml:space="preserve"> by the NWTA project during this period, what happened to them whilst they waited for a refuge space, and </w:t>
      </w:r>
      <w:r w:rsidR="00F050E9" w:rsidRPr="00493AC6">
        <w:rPr>
          <w:rFonts w:ascii="Open Sans" w:hAnsi="Open Sans" w:cs="Open Sans"/>
        </w:rPr>
        <w:t>the outcomes of this assistance</w:t>
      </w:r>
      <w:r w:rsidR="006E2971" w:rsidRPr="00493AC6">
        <w:rPr>
          <w:rFonts w:ascii="Open Sans" w:hAnsi="Open Sans" w:cs="Open Sans"/>
        </w:rPr>
        <w:t xml:space="preserve">. We </w:t>
      </w:r>
      <w:r w:rsidR="00F050E9" w:rsidRPr="00493AC6">
        <w:rPr>
          <w:rFonts w:ascii="Open Sans" w:hAnsi="Open Sans" w:cs="Open Sans"/>
        </w:rPr>
        <w:t>present the information we have learned</w:t>
      </w:r>
      <w:r w:rsidR="006E2971" w:rsidRPr="00493AC6">
        <w:rPr>
          <w:rFonts w:ascii="Open Sans" w:hAnsi="Open Sans" w:cs="Open Sans"/>
        </w:rPr>
        <w:t xml:space="preserve"> from this evaluation along with evidence-based recommendations</w:t>
      </w:r>
      <w:r w:rsidR="00217C84" w:rsidRPr="00493AC6">
        <w:rPr>
          <w:rFonts w:ascii="Open Sans" w:hAnsi="Open Sans" w:cs="Open Sans"/>
        </w:rPr>
        <w:t xml:space="preserve">. </w:t>
      </w:r>
    </w:p>
    <w:p w14:paraId="4EDC8B37" w14:textId="77777777" w:rsidR="0007637C" w:rsidRPr="00493AC6" w:rsidRDefault="0007637C" w:rsidP="007E72F1">
      <w:pPr>
        <w:spacing w:after="240"/>
        <w:rPr>
          <w:rFonts w:ascii="Open Sans" w:hAnsi="Open Sans" w:cs="Open Sans"/>
        </w:rPr>
      </w:pPr>
    </w:p>
    <w:p w14:paraId="13380821" w14:textId="77777777" w:rsidR="00B50D4C" w:rsidRPr="00493AC6" w:rsidRDefault="742DB71A" w:rsidP="007E72F1">
      <w:pPr>
        <w:pStyle w:val="Heading2"/>
      </w:pPr>
      <w:bookmarkStart w:id="15" w:name="_Toc104535744"/>
      <w:r w:rsidRPr="00493AC6">
        <w:t>The No Woman Turned Away (NWTA) project</w:t>
      </w:r>
      <w:bookmarkEnd w:id="12"/>
      <w:bookmarkEnd w:id="15"/>
    </w:p>
    <w:p w14:paraId="679C872B" w14:textId="6C3316C3" w:rsidR="00B50D4C" w:rsidRPr="00493AC6" w:rsidRDefault="00B50D4C" w:rsidP="007E72F1">
      <w:pPr>
        <w:spacing w:after="240"/>
        <w:rPr>
          <w:rFonts w:ascii="Open Sans" w:eastAsia="Times New Roman" w:hAnsi="Open Sans" w:cs="Nirmala UI"/>
        </w:rPr>
      </w:pPr>
      <w:r w:rsidRPr="00493AC6">
        <w:rPr>
          <w:rFonts w:ascii="Open Sans" w:eastAsia="Times New Roman" w:hAnsi="Open Sans" w:cs="Nirmala UI"/>
        </w:rPr>
        <w:t xml:space="preserve">The No Woman Turned Away (NWTA) project </w:t>
      </w:r>
      <w:r w:rsidR="006E2971" w:rsidRPr="00493AC6">
        <w:rPr>
          <w:rFonts w:ascii="Open Sans" w:eastAsia="Times New Roman" w:hAnsi="Open Sans" w:cs="Nirmala UI"/>
        </w:rPr>
        <w:t>is delivered by Women’s Aid</w:t>
      </w:r>
      <w:r w:rsidR="00330EE3" w:rsidRPr="00493AC6">
        <w:rPr>
          <w:rFonts w:ascii="Open Sans" w:eastAsia="Times New Roman" w:hAnsi="Open Sans" w:cs="Nirmala UI"/>
        </w:rPr>
        <w:t>. We wish to say thank you to the</w:t>
      </w:r>
      <w:r w:rsidR="006E2971" w:rsidRPr="00493AC6">
        <w:rPr>
          <w:rFonts w:ascii="Open Sans" w:eastAsia="Times New Roman" w:hAnsi="Open Sans" w:cs="Nirmala UI"/>
        </w:rPr>
        <w:t xml:space="preserve"> </w:t>
      </w:r>
      <w:r w:rsidRPr="00493AC6">
        <w:rPr>
          <w:rFonts w:ascii="Open Sans" w:eastAsia="Times New Roman" w:hAnsi="Open Sans" w:cs="Nirmala UI"/>
        </w:rPr>
        <w:t xml:space="preserve">Department for Levelling </w:t>
      </w:r>
      <w:r w:rsidR="006E5EE5" w:rsidRPr="00493AC6">
        <w:rPr>
          <w:rFonts w:ascii="Open Sans" w:eastAsia="Times New Roman" w:hAnsi="Open Sans" w:cs="Nirmala UI"/>
        </w:rPr>
        <w:t>U</w:t>
      </w:r>
      <w:r w:rsidRPr="00493AC6">
        <w:rPr>
          <w:rFonts w:ascii="Open Sans" w:eastAsia="Times New Roman" w:hAnsi="Open Sans" w:cs="Nirmala UI"/>
        </w:rPr>
        <w:t>p, Housing and Communities (DLUHC)</w:t>
      </w:r>
      <w:r w:rsidR="00330EE3" w:rsidRPr="00493AC6">
        <w:rPr>
          <w:rFonts w:ascii="Open Sans" w:eastAsia="Times New Roman" w:hAnsi="Open Sans" w:cs="Nirmala UI"/>
        </w:rPr>
        <w:t>, who have funded the project</w:t>
      </w:r>
      <w:r w:rsidRPr="00493AC6">
        <w:rPr>
          <w:rFonts w:ascii="Open Sans" w:eastAsia="Times New Roman" w:hAnsi="Open Sans" w:cs="Nirmala UI"/>
        </w:rPr>
        <w:t xml:space="preserve"> since January 2016</w:t>
      </w:r>
      <w:r w:rsidR="006E2971" w:rsidRPr="00493AC6">
        <w:rPr>
          <w:rFonts w:ascii="Open Sans" w:eastAsia="Times New Roman" w:hAnsi="Open Sans" w:cs="Nirmala UI"/>
        </w:rPr>
        <w:t>. It</w:t>
      </w:r>
      <w:r w:rsidRPr="00493AC6">
        <w:rPr>
          <w:rFonts w:ascii="Open Sans" w:eastAsia="Times New Roman" w:hAnsi="Open Sans" w:cs="Nirmala UI"/>
        </w:rPr>
        <w:t xml:space="preserve"> continues to provide dedicated support to survivors of domestic abuse who face structural </w:t>
      </w:r>
      <w:r w:rsidRPr="00493AC6">
        <w:rPr>
          <w:rFonts w:ascii="Open Sans" w:eastAsia="Times New Roman" w:hAnsi="Open Sans" w:cs="Nirmala UI"/>
        </w:rPr>
        <w:lastRenderedPageBreak/>
        <w:t xml:space="preserve">inequalities and barriers to accessing a refuge space. </w:t>
      </w:r>
      <w:r w:rsidR="0085560C" w:rsidRPr="00493AC6">
        <w:rPr>
          <w:rFonts w:ascii="Open Sans" w:eastAsia="Times New Roman" w:hAnsi="Open Sans" w:cs="Nirmala UI"/>
        </w:rPr>
        <w:t>A definition of ‘structural inequality’ can be found below.</w:t>
      </w:r>
    </w:p>
    <w:p w14:paraId="73DEBB7D" w14:textId="66AEC525" w:rsidR="00B50D4C" w:rsidRDefault="00B50D4C" w:rsidP="007E72F1">
      <w:pPr>
        <w:rPr>
          <w:rFonts w:ascii="Open Sans" w:eastAsia="Times New Roman" w:hAnsi="Open Sans" w:cs="Nirmala UI"/>
        </w:rPr>
      </w:pPr>
      <w:r w:rsidRPr="00493AC6">
        <w:rPr>
          <w:rFonts w:ascii="Open Sans" w:eastAsia="Times New Roman" w:hAnsi="Open Sans" w:cs="Nirmala UI"/>
        </w:rPr>
        <w:t>The NWTA project employs four</w:t>
      </w:r>
      <w:r w:rsidR="00145100" w:rsidRPr="00493AC6">
        <w:rPr>
          <w:rFonts w:ascii="Open Sans" w:eastAsia="Times New Roman" w:hAnsi="Open Sans" w:cs="Nirmala UI"/>
        </w:rPr>
        <w:t xml:space="preserve"> paid</w:t>
      </w:r>
      <w:r w:rsidRPr="00493AC6">
        <w:rPr>
          <w:rFonts w:ascii="Open Sans" w:eastAsia="Times New Roman" w:hAnsi="Open Sans" w:cs="Nirmala UI"/>
        </w:rPr>
        <w:t xml:space="preserve"> specialist practitioners, providing telephone and email support to women in England looking for a refuge space, and one dedicated research and evaluation officer. In its initial years the project solely received referrals from the National Domestic Violence Helpline</w:t>
      </w:r>
      <w:r w:rsidR="00AD32D6" w:rsidRPr="00493AC6">
        <w:rPr>
          <w:rFonts w:ascii="Open Sans" w:eastAsia="Times New Roman" w:hAnsi="Open Sans" w:cs="Nirmala UI"/>
          <w:vertAlign w:val="superscript"/>
        </w:rPr>
        <w:footnoteReference w:id="2"/>
      </w:r>
      <w:r w:rsidRPr="00493AC6">
        <w:rPr>
          <w:rFonts w:ascii="Open Sans" w:eastAsia="Times New Roman" w:hAnsi="Open Sans" w:cs="Nirmala UI"/>
        </w:rPr>
        <w:t>, which used to be run in partnership between Women’s Aid and Refuge. Since November 2019, the project accepts referrals from a wider range of organisations, including Women’s Aid’s own direct services (Live Chat, e-mail, and the Survivors’ Forum), Women’s Aid member services (who are offered referral workshops upon request), violence against women and girls (VAWG) organisations listed on Routes to Support</w:t>
      </w:r>
      <w:r w:rsidRPr="00493AC6">
        <w:rPr>
          <w:rFonts w:ascii="Open Sans" w:eastAsia="Times New Roman" w:hAnsi="Open Sans" w:cs="Nirmala UI"/>
          <w:vertAlign w:val="superscript"/>
        </w:rPr>
        <w:footnoteReference w:id="3"/>
      </w:r>
      <w:r w:rsidRPr="00493AC6">
        <w:rPr>
          <w:rFonts w:ascii="Open Sans" w:eastAsia="Times New Roman" w:hAnsi="Open Sans" w:cs="Nirmala UI"/>
        </w:rPr>
        <w:t xml:space="preserve">, Victim Support, and the British Red Cross. </w:t>
      </w:r>
    </w:p>
    <w:p w14:paraId="59CDFEE5" w14:textId="77777777" w:rsidR="00642299" w:rsidRPr="00493AC6" w:rsidRDefault="00642299" w:rsidP="007E72F1">
      <w:pPr>
        <w:rPr>
          <w:rFonts w:ascii="Open Sans" w:eastAsia="Times New Roman" w:hAnsi="Open Sans" w:cs="Nirmala UI"/>
        </w:rPr>
      </w:pPr>
    </w:p>
    <w:p w14:paraId="7196E3C0" w14:textId="38569F0E" w:rsidR="0085560C" w:rsidRPr="00493AC6" w:rsidRDefault="0085560C" w:rsidP="007E72F1">
      <w:pPr>
        <w:spacing w:after="240"/>
        <w:rPr>
          <w:rFonts w:ascii="Open Sans" w:hAnsi="Open Sans" w:cs="Open Sans"/>
        </w:rPr>
      </w:pPr>
      <w:r w:rsidRPr="00493AC6">
        <w:rPr>
          <w:rFonts w:ascii="Open Sans" w:hAnsi="Open Sans" w:cs="Open Sans"/>
          <w:b/>
          <w:bCs/>
        </w:rPr>
        <w:t>Structural inequality</w:t>
      </w:r>
      <w:r w:rsidRPr="00493AC6">
        <w:rPr>
          <w:rFonts w:ascii="Open Sans" w:hAnsi="Open Sans" w:cs="Open Sans"/>
        </w:rPr>
        <w:t xml:space="preserve"> describes the inequality in opportunity, treatment or status for some groups of people embedded in social structures such as health, education and justice, which reflect and </w:t>
      </w:r>
      <w:r w:rsidRPr="00493AC6">
        <w:rPr>
          <w:rFonts w:ascii="Open Sans" w:hAnsi="Open Sans" w:cs="Open Sans"/>
        </w:rPr>
        <w:lastRenderedPageBreak/>
        <w:t>reinforce ingrained prejudices. It can restrict opportunities and choices, and access to services. Structural inequality impacts how a woman experiences domestic abuse, how she talks about it or who she talks to, and how she accesses support of all kinds. (Women’s Aid, 2021a).</w:t>
      </w:r>
    </w:p>
    <w:p w14:paraId="6E20A1C4" w14:textId="77777777" w:rsidR="0085560C" w:rsidRPr="00493AC6" w:rsidRDefault="0085560C" w:rsidP="007E72F1">
      <w:pPr>
        <w:spacing w:after="240"/>
        <w:rPr>
          <w:rFonts w:ascii="Open Sans" w:hAnsi="Open Sans" w:cs="Open Sans"/>
        </w:rPr>
      </w:pPr>
    </w:p>
    <w:p w14:paraId="16C6D786" w14:textId="77777777" w:rsidR="00B7505F" w:rsidRPr="00493AC6" w:rsidRDefault="00F40455" w:rsidP="007E72F1">
      <w:pPr>
        <w:pStyle w:val="Heading2"/>
        <w:rPr>
          <w:rFonts w:eastAsia="Times New Roman"/>
        </w:rPr>
      </w:pPr>
      <w:bookmarkStart w:id="16" w:name="_Toc104535745"/>
      <w:r w:rsidRPr="00493AC6">
        <w:rPr>
          <w:rFonts w:eastAsia="Times New Roman"/>
        </w:rPr>
        <w:t>Methodology</w:t>
      </w:r>
      <w:bookmarkEnd w:id="16"/>
    </w:p>
    <w:p w14:paraId="6546FAE8" w14:textId="1F5BE3B0" w:rsidR="0065246C" w:rsidRPr="00493AC6" w:rsidRDefault="00B7505F" w:rsidP="007E72F1">
      <w:pPr>
        <w:spacing w:after="240"/>
        <w:rPr>
          <w:rFonts w:ascii="Open Sans" w:hAnsi="Open Sans" w:cs="Open Sans"/>
        </w:rPr>
      </w:pPr>
      <w:r w:rsidRPr="00493AC6">
        <w:rPr>
          <w:rFonts w:ascii="Open Sans" w:hAnsi="Open Sans" w:cs="Open Sans"/>
          <w:lang w:val="en-US"/>
        </w:rPr>
        <w:t xml:space="preserve">The quantitative data in this report was recorded by the NWTA specialist practitioners </w:t>
      </w:r>
      <w:r w:rsidR="00E03283" w:rsidRPr="00493AC6">
        <w:rPr>
          <w:rFonts w:ascii="Open Sans" w:hAnsi="Open Sans" w:cs="Open Sans"/>
          <w:lang w:val="en-US"/>
        </w:rPr>
        <w:t xml:space="preserve">using </w:t>
      </w:r>
      <w:r w:rsidRPr="00493AC6">
        <w:rPr>
          <w:rFonts w:ascii="Open Sans" w:hAnsi="Open Sans" w:cs="Open Sans"/>
          <w:lang w:val="en-US"/>
        </w:rPr>
        <w:t xml:space="preserve">On Track, the Women’s Aid case management and outcomes system. </w:t>
      </w:r>
      <w:r w:rsidR="0065246C" w:rsidRPr="00493AC6">
        <w:rPr>
          <w:rFonts w:ascii="Open Sans" w:hAnsi="Open Sans" w:cs="Open Sans"/>
        </w:rPr>
        <w:t xml:space="preserve">The specialist practitioners collected data on women’s support needs, demographics, abuse profiles, outcomes, the barriers they have faced, and what happened to them while they were waiting for a refuge space or other safe outcome. They also completed questions on women’s experiences with statutory services when they closed a case </w:t>
      </w:r>
      <w:r w:rsidR="00E03283" w:rsidRPr="00493AC6">
        <w:rPr>
          <w:rFonts w:ascii="Open Sans" w:hAnsi="Open Sans" w:cs="Open Sans"/>
        </w:rPr>
        <w:t xml:space="preserve">in </w:t>
      </w:r>
      <w:r w:rsidR="0065246C" w:rsidRPr="00493AC6">
        <w:rPr>
          <w:rFonts w:ascii="Open Sans" w:hAnsi="Open Sans" w:cs="Open Sans"/>
        </w:rPr>
        <w:t>On Track, as well as the time spent on each case and the types of support they gave to the women. This data was then cleansed and analysed by the NWTA Research and Evaluation Officer to produce the findings in this report.</w:t>
      </w:r>
      <w:r w:rsidR="00A95E6A" w:rsidRPr="00493AC6">
        <w:rPr>
          <w:rFonts w:ascii="Open Sans" w:hAnsi="Open Sans" w:cs="Open Sans"/>
        </w:rPr>
        <w:t xml:space="preserve"> We have also included some case studies from information input by the practitioners in On Track.</w:t>
      </w:r>
      <w:r w:rsidR="00B26098" w:rsidRPr="00493AC6">
        <w:rPr>
          <w:rStyle w:val="FootnoteReference"/>
          <w:rFonts w:ascii="Open Sans" w:hAnsi="Open Sans" w:cs="Open Sans"/>
        </w:rPr>
        <w:footnoteReference w:id="4"/>
      </w:r>
    </w:p>
    <w:p w14:paraId="6F147E34" w14:textId="718556D3" w:rsidR="008C5FCB" w:rsidRPr="00493AC6" w:rsidRDefault="008C5FCB" w:rsidP="007E72F1">
      <w:pPr>
        <w:spacing w:after="240"/>
        <w:rPr>
          <w:rFonts w:ascii="Open Sans" w:hAnsi="Open Sans" w:cs="Open Sans"/>
        </w:rPr>
      </w:pPr>
      <w:r w:rsidRPr="00493AC6">
        <w:rPr>
          <w:rFonts w:ascii="Open Sans" w:hAnsi="Open Sans" w:cs="Open Sans"/>
        </w:rPr>
        <w:lastRenderedPageBreak/>
        <w:t xml:space="preserve">Along with the </w:t>
      </w:r>
      <w:r w:rsidR="00D8345C" w:rsidRPr="00493AC6">
        <w:rPr>
          <w:rFonts w:ascii="Open Sans" w:hAnsi="Open Sans" w:cs="Open Sans"/>
        </w:rPr>
        <w:t>On Track</w:t>
      </w:r>
      <w:r w:rsidRPr="00493AC6">
        <w:rPr>
          <w:rFonts w:ascii="Open Sans" w:hAnsi="Open Sans" w:cs="Open Sans"/>
        </w:rPr>
        <w:t xml:space="preserve"> data we have included three </w:t>
      </w:r>
      <w:r w:rsidR="00DB75E8" w:rsidRPr="00493AC6">
        <w:rPr>
          <w:rFonts w:ascii="Open Sans" w:hAnsi="Open Sans" w:cs="Open Sans"/>
        </w:rPr>
        <w:t>in-depth</w:t>
      </w:r>
      <w:r w:rsidR="00D8345C" w:rsidRPr="00493AC6">
        <w:rPr>
          <w:rFonts w:ascii="Open Sans" w:hAnsi="Open Sans" w:cs="Open Sans"/>
        </w:rPr>
        <w:t xml:space="preserve"> qualitative interviews to explore </w:t>
      </w:r>
      <w:r w:rsidR="006E5EE5" w:rsidRPr="00493AC6">
        <w:rPr>
          <w:rFonts w:ascii="Open Sans" w:hAnsi="Open Sans" w:cs="Open Sans"/>
        </w:rPr>
        <w:t xml:space="preserve">in more detail </w:t>
      </w:r>
      <w:r w:rsidR="00D8345C" w:rsidRPr="00493AC6">
        <w:rPr>
          <w:rFonts w:ascii="Open Sans" w:hAnsi="Open Sans" w:cs="Open Sans"/>
        </w:rPr>
        <w:t xml:space="preserve">some of the </w:t>
      </w:r>
      <w:r w:rsidR="007F39BF" w:rsidRPr="00493AC6">
        <w:rPr>
          <w:rFonts w:ascii="Open Sans" w:hAnsi="Open Sans" w:cs="Open Sans"/>
        </w:rPr>
        <w:t xml:space="preserve">early </w:t>
      </w:r>
      <w:r w:rsidR="00D8345C" w:rsidRPr="00493AC6">
        <w:rPr>
          <w:rFonts w:ascii="Open Sans" w:hAnsi="Open Sans" w:cs="Open Sans"/>
        </w:rPr>
        <w:t>findings from the quan</w:t>
      </w:r>
      <w:r w:rsidR="00DB75E8" w:rsidRPr="00493AC6">
        <w:rPr>
          <w:rFonts w:ascii="Open Sans" w:hAnsi="Open Sans" w:cs="Open Sans"/>
        </w:rPr>
        <w:t>titative data</w:t>
      </w:r>
      <w:r w:rsidR="007F39BF" w:rsidRPr="00493AC6">
        <w:rPr>
          <w:rFonts w:ascii="Open Sans" w:hAnsi="Open Sans" w:cs="Open Sans"/>
        </w:rPr>
        <w:t xml:space="preserve"> analysis</w:t>
      </w:r>
      <w:r w:rsidR="00D8345C" w:rsidRPr="00493AC6">
        <w:rPr>
          <w:rFonts w:ascii="Open Sans" w:hAnsi="Open Sans" w:cs="Open Sans"/>
        </w:rPr>
        <w:t xml:space="preserve">. </w:t>
      </w:r>
      <w:r w:rsidR="001A419B" w:rsidRPr="00493AC6">
        <w:rPr>
          <w:rFonts w:ascii="Open Sans" w:hAnsi="Open Sans" w:cs="Open Sans"/>
        </w:rPr>
        <w:t xml:space="preserve">Each of these interviews lasted between one to </w:t>
      </w:r>
      <w:r w:rsidR="00933625" w:rsidRPr="00493AC6">
        <w:rPr>
          <w:rFonts w:ascii="Open Sans" w:hAnsi="Open Sans" w:cs="Open Sans"/>
        </w:rPr>
        <w:t>two and a half</w:t>
      </w:r>
      <w:r w:rsidR="001A419B" w:rsidRPr="00493AC6">
        <w:rPr>
          <w:rFonts w:ascii="Open Sans" w:hAnsi="Open Sans" w:cs="Open Sans"/>
        </w:rPr>
        <w:t xml:space="preserve"> hours. </w:t>
      </w:r>
      <w:r w:rsidR="00342127" w:rsidRPr="00493AC6">
        <w:rPr>
          <w:rFonts w:ascii="Open Sans" w:hAnsi="Open Sans" w:cs="Open Sans"/>
        </w:rPr>
        <w:t>Two of the interviews are with professionals</w:t>
      </w:r>
      <w:r w:rsidR="00DB75E8" w:rsidRPr="00493AC6">
        <w:rPr>
          <w:rFonts w:ascii="Open Sans" w:hAnsi="Open Sans" w:cs="Open Sans"/>
        </w:rPr>
        <w:t>; one a specialist domestic abuse practitioner on the NWTA project, and the other</w:t>
      </w:r>
      <w:r w:rsidR="00E9091A" w:rsidRPr="00493AC6">
        <w:rPr>
          <w:rFonts w:ascii="Open Sans" w:hAnsi="Open Sans" w:cs="Open Sans"/>
        </w:rPr>
        <w:t xml:space="preserve"> with an</w:t>
      </w:r>
      <w:r w:rsidR="00DB75E8" w:rsidRPr="00493AC6">
        <w:rPr>
          <w:rFonts w:ascii="Open Sans" w:hAnsi="Open Sans" w:cs="Open Sans"/>
        </w:rPr>
        <w:t xml:space="preserve"> </w:t>
      </w:r>
      <w:r w:rsidR="00E9091A" w:rsidRPr="00493AC6">
        <w:rPr>
          <w:rFonts w:ascii="Open Sans" w:hAnsi="Open Sans" w:cs="Open Sans"/>
        </w:rPr>
        <w:t xml:space="preserve">Advice Session Supervisor and Immigration Advisor at a Citizen’s Advice Bureau. The third interview is with a survivor who had been supported by the NWTA project and was keen to share her experience. </w:t>
      </w:r>
      <w:r w:rsidR="009305D4" w:rsidRPr="00493AC6">
        <w:rPr>
          <w:rFonts w:ascii="Open Sans" w:hAnsi="Open Sans" w:cs="Open Sans"/>
        </w:rPr>
        <w:t xml:space="preserve">The survivor involved was safely accommodated and receiving ongoing support from a specialist domestic abuse service at the time of interview. </w:t>
      </w:r>
    </w:p>
    <w:p w14:paraId="7670642D" w14:textId="7CC78093" w:rsidR="0085560C" w:rsidRPr="00642299" w:rsidRDefault="007F39BF" w:rsidP="00642299">
      <w:pPr>
        <w:spacing w:after="240"/>
        <w:rPr>
          <w:rFonts w:ascii="Open Sans" w:hAnsi="Open Sans" w:cs="Open Sans"/>
        </w:rPr>
      </w:pPr>
      <w:r w:rsidRPr="00493AC6">
        <w:rPr>
          <w:rFonts w:ascii="Open Sans" w:hAnsi="Open Sans" w:cs="Open Sans"/>
        </w:rPr>
        <w:t xml:space="preserve">All the participants were interviewed by </w:t>
      </w:r>
      <w:r w:rsidR="000509F8" w:rsidRPr="00493AC6">
        <w:rPr>
          <w:rFonts w:ascii="Open Sans" w:hAnsi="Open Sans" w:cs="Open Sans"/>
        </w:rPr>
        <w:t xml:space="preserve">the </w:t>
      </w:r>
      <w:r w:rsidR="001A419B" w:rsidRPr="00493AC6">
        <w:rPr>
          <w:rFonts w:ascii="Open Sans" w:hAnsi="Open Sans" w:cs="Open Sans"/>
        </w:rPr>
        <w:t xml:space="preserve">female </w:t>
      </w:r>
      <w:r w:rsidR="000509F8" w:rsidRPr="00493AC6">
        <w:rPr>
          <w:rFonts w:ascii="Open Sans" w:hAnsi="Open Sans" w:cs="Open Sans"/>
        </w:rPr>
        <w:t>NWTA Research and Evaluation O</w:t>
      </w:r>
      <w:r w:rsidR="001A419B" w:rsidRPr="00493AC6">
        <w:rPr>
          <w:rFonts w:ascii="Open Sans" w:hAnsi="Open Sans" w:cs="Open Sans"/>
        </w:rPr>
        <w:t xml:space="preserve">fficer, </w:t>
      </w:r>
      <w:r w:rsidRPr="00493AC6">
        <w:rPr>
          <w:rFonts w:ascii="Open Sans" w:hAnsi="Open Sans" w:cs="Open Sans"/>
        </w:rPr>
        <w:t>previously trained in providing support to survivors.</w:t>
      </w:r>
      <w:r w:rsidR="000509F8" w:rsidRPr="00493AC6">
        <w:rPr>
          <w:rFonts w:ascii="Open Sans" w:hAnsi="Open Sans" w:cs="Open Sans"/>
        </w:rPr>
        <w:t xml:space="preserve"> The interviewer was White British, which must be understood as a potential limitation in the interview with the survivor</w:t>
      </w:r>
      <w:r w:rsidR="003C7839" w:rsidRPr="00493AC6">
        <w:rPr>
          <w:rFonts w:ascii="Open Sans" w:hAnsi="Open Sans" w:cs="Open Sans"/>
        </w:rPr>
        <w:t>,</w:t>
      </w:r>
      <w:r w:rsidR="000509F8" w:rsidRPr="00493AC6">
        <w:rPr>
          <w:rFonts w:ascii="Open Sans" w:hAnsi="Open Sans" w:cs="Open Sans"/>
        </w:rPr>
        <w:t xml:space="preserve"> who was Black and ‘minority ethnic.’ </w:t>
      </w:r>
      <w:r w:rsidR="00734C51" w:rsidRPr="00493AC6">
        <w:rPr>
          <w:rFonts w:ascii="Open Sans" w:hAnsi="Open Sans" w:cs="Open Sans"/>
        </w:rPr>
        <w:t>This is because unequal power dynamics between an interviewer and interviewee may be heightened by such factors, making participants less willing to share certain experiences, such as racism (Archer, 2002).</w:t>
      </w:r>
      <w:r w:rsidR="000E0D5F" w:rsidRPr="00493AC6">
        <w:rPr>
          <w:rFonts w:ascii="Open Sans" w:hAnsi="Open Sans" w:cs="Open Sans"/>
        </w:rPr>
        <w:t xml:space="preserve"> </w:t>
      </w:r>
      <w:r w:rsidR="00767F43" w:rsidRPr="00493AC6">
        <w:rPr>
          <w:rFonts w:ascii="Open Sans" w:hAnsi="Open Sans" w:cs="Open Sans"/>
        </w:rPr>
        <w:t>To mitigate these unequal power dynamics, the interview was</w:t>
      </w:r>
      <w:r w:rsidR="00D51E89" w:rsidRPr="00493AC6">
        <w:rPr>
          <w:rFonts w:ascii="Open Sans" w:hAnsi="Open Sans" w:cs="Open Sans"/>
        </w:rPr>
        <w:t xml:space="preserve"> semi-structured, </w:t>
      </w:r>
      <w:r w:rsidR="00767F43" w:rsidRPr="00493AC6">
        <w:rPr>
          <w:rFonts w:ascii="Open Sans" w:hAnsi="Open Sans" w:cs="Open Sans"/>
        </w:rPr>
        <w:t>which gave</w:t>
      </w:r>
      <w:r w:rsidR="00D51E89" w:rsidRPr="00493AC6">
        <w:rPr>
          <w:rFonts w:ascii="Open Sans" w:hAnsi="Open Sans" w:cs="Open Sans"/>
        </w:rPr>
        <w:t xml:space="preserve"> </w:t>
      </w:r>
      <w:r w:rsidR="00767F43" w:rsidRPr="00493AC6">
        <w:rPr>
          <w:rFonts w:ascii="Open Sans" w:hAnsi="Open Sans" w:cs="Open Sans"/>
        </w:rPr>
        <w:t>the survivor</w:t>
      </w:r>
      <w:r w:rsidR="00D51E89" w:rsidRPr="00493AC6">
        <w:rPr>
          <w:rFonts w:ascii="Open Sans" w:hAnsi="Open Sans" w:cs="Open Sans"/>
        </w:rPr>
        <w:t xml:space="preserve"> the space to share what </w:t>
      </w:r>
      <w:r w:rsidR="00767F43" w:rsidRPr="00493AC6">
        <w:rPr>
          <w:rFonts w:ascii="Open Sans" w:hAnsi="Open Sans" w:cs="Open Sans"/>
        </w:rPr>
        <w:t xml:space="preserve">she </w:t>
      </w:r>
      <w:r w:rsidR="00D51E89" w:rsidRPr="00493AC6">
        <w:rPr>
          <w:rFonts w:ascii="Open Sans" w:hAnsi="Open Sans" w:cs="Open Sans"/>
        </w:rPr>
        <w:t xml:space="preserve">deemed </w:t>
      </w:r>
      <w:r w:rsidR="00B32530" w:rsidRPr="00493AC6">
        <w:rPr>
          <w:rFonts w:ascii="Open Sans" w:hAnsi="Open Sans" w:cs="Open Sans"/>
        </w:rPr>
        <w:t xml:space="preserve">most </w:t>
      </w:r>
      <w:r w:rsidR="00D51E89" w:rsidRPr="00493AC6">
        <w:rPr>
          <w:rFonts w:ascii="Open Sans" w:hAnsi="Open Sans" w:cs="Open Sans"/>
        </w:rPr>
        <w:t xml:space="preserve">important. </w:t>
      </w:r>
      <w:r w:rsidR="00273EF8" w:rsidRPr="00493AC6">
        <w:rPr>
          <w:rFonts w:ascii="Open Sans" w:hAnsi="Open Sans" w:cs="Open Sans"/>
        </w:rPr>
        <w:t xml:space="preserve">She </w:t>
      </w:r>
      <w:r w:rsidR="00D51E89" w:rsidRPr="00493AC6">
        <w:rPr>
          <w:rFonts w:ascii="Open Sans" w:hAnsi="Open Sans" w:cs="Open Sans"/>
        </w:rPr>
        <w:t>was also given the opportunity to review and feedback on what was written about her before this report was published.</w:t>
      </w:r>
    </w:p>
    <w:p w14:paraId="21C627C9" w14:textId="61D4B41E" w:rsidR="00534E94" w:rsidRPr="00493AC6" w:rsidRDefault="004E348C" w:rsidP="007E72F1">
      <w:pPr>
        <w:pStyle w:val="Heading1"/>
      </w:pPr>
      <w:bookmarkStart w:id="17" w:name="_Toc104535746"/>
      <w:r w:rsidRPr="00493AC6">
        <w:rPr>
          <w:b/>
          <w:bCs/>
        </w:rPr>
        <w:lastRenderedPageBreak/>
        <w:t xml:space="preserve">Part 1 - </w:t>
      </w:r>
      <w:r w:rsidR="000862D6" w:rsidRPr="00493AC6">
        <w:t>Re</w:t>
      </w:r>
      <w:r w:rsidR="00F141DB" w:rsidRPr="00493AC6">
        <w:t>ferrals in</w:t>
      </w:r>
      <w:r w:rsidR="002978A7" w:rsidRPr="00493AC6">
        <w:t>to the</w:t>
      </w:r>
      <w:r w:rsidR="000862D6" w:rsidRPr="00493AC6">
        <w:t xml:space="preserve"> project</w:t>
      </w:r>
      <w:bookmarkEnd w:id="17"/>
    </w:p>
    <w:p w14:paraId="49F116E5" w14:textId="77777777" w:rsidR="00534E94" w:rsidRPr="006C7ED3" w:rsidRDefault="463D6423" w:rsidP="006C7ED3">
      <w:pPr>
        <w:pStyle w:val="Heading2"/>
      </w:pPr>
      <w:bookmarkStart w:id="18" w:name="_Toc104535747"/>
      <w:r w:rsidRPr="006C7ED3">
        <w:t>Referrals</w:t>
      </w:r>
      <w:bookmarkEnd w:id="18"/>
      <w:r w:rsidRPr="006C7ED3">
        <w:t xml:space="preserve"> </w:t>
      </w:r>
    </w:p>
    <w:p w14:paraId="410836F8" w14:textId="18729E67" w:rsidR="0045652E" w:rsidRPr="00493AC6" w:rsidRDefault="68D32FE3" w:rsidP="007E72F1">
      <w:pPr>
        <w:spacing w:before="240"/>
        <w:rPr>
          <w:rFonts w:ascii="Open Sans" w:hAnsi="Open Sans" w:cs="Open Sans"/>
          <w:lang w:val="en-US"/>
        </w:rPr>
      </w:pPr>
      <w:r w:rsidRPr="00493AC6">
        <w:rPr>
          <w:rFonts w:ascii="Open Sans" w:hAnsi="Open Sans" w:cs="Open Sans"/>
          <w:lang w:val="en-US"/>
        </w:rPr>
        <w:t>A total</w:t>
      </w:r>
      <w:r w:rsidR="0045652E" w:rsidRPr="00493AC6">
        <w:rPr>
          <w:rFonts w:ascii="Open Sans" w:hAnsi="Open Sans" w:cs="Open Sans"/>
          <w:lang w:val="en-US"/>
        </w:rPr>
        <w:t xml:space="preserve"> of </w:t>
      </w:r>
      <w:r w:rsidR="00886B85" w:rsidRPr="00493AC6">
        <w:rPr>
          <w:rFonts w:ascii="Open Sans" w:hAnsi="Open Sans" w:cs="Open Sans"/>
        </w:rPr>
        <w:t>33</w:t>
      </w:r>
      <w:r w:rsidR="0045652E" w:rsidRPr="00493AC6">
        <w:rPr>
          <w:rFonts w:ascii="Open Sans" w:hAnsi="Open Sans" w:cs="Open Sans"/>
        </w:rPr>
        <w:t>7 referrals were made (</w:t>
      </w:r>
      <w:r w:rsidR="00886B85" w:rsidRPr="00493AC6">
        <w:rPr>
          <w:rFonts w:ascii="Open Sans" w:hAnsi="Open Sans" w:cs="Open Sans"/>
        </w:rPr>
        <w:t>307 individual women</w:t>
      </w:r>
      <w:r w:rsidR="00886B85" w:rsidRPr="00493AC6">
        <w:rPr>
          <w:rStyle w:val="FootnoteReference"/>
          <w:rFonts w:ascii="Open Sans" w:hAnsi="Open Sans" w:cs="Open Sans"/>
        </w:rPr>
        <w:footnoteReference w:id="5"/>
      </w:r>
      <w:r w:rsidR="0045652E" w:rsidRPr="00493AC6">
        <w:rPr>
          <w:rFonts w:ascii="Open Sans" w:hAnsi="Open Sans" w:cs="Open Sans"/>
        </w:rPr>
        <w:t xml:space="preserve">) </w:t>
      </w:r>
      <w:r w:rsidR="0045652E" w:rsidRPr="00493AC6">
        <w:rPr>
          <w:rFonts w:ascii="Open Sans" w:hAnsi="Open Sans" w:cs="Open Sans"/>
          <w:lang w:val="en-US"/>
        </w:rPr>
        <w:t>to the NWTA specialist practitioners between 1</w:t>
      </w:r>
      <w:r w:rsidR="0045652E" w:rsidRPr="00493AC6">
        <w:rPr>
          <w:rFonts w:ascii="Open Sans" w:hAnsi="Open Sans" w:cs="Open Sans"/>
          <w:vertAlign w:val="superscript"/>
          <w:lang w:val="en-US"/>
        </w:rPr>
        <w:t>st</w:t>
      </w:r>
      <w:r w:rsidR="0045652E" w:rsidRPr="00493AC6">
        <w:rPr>
          <w:rFonts w:ascii="Open Sans" w:hAnsi="Open Sans" w:cs="Open Sans"/>
          <w:lang w:val="en-US"/>
        </w:rPr>
        <w:t xml:space="preserve"> January 2021 and 31</w:t>
      </w:r>
      <w:r w:rsidR="0045652E" w:rsidRPr="00493AC6">
        <w:rPr>
          <w:rFonts w:ascii="Open Sans" w:hAnsi="Open Sans" w:cs="Open Sans"/>
          <w:vertAlign w:val="superscript"/>
          <w:lang w:val="en-US"/>
        </w:rPr>
        <w:t>st</w:t>
      </w:r>
      <w:r w:rsidR="0045652E" w:rsidRPr="00493AC6">
        <w:rPr>
          <w:rFonts w:ascii="Open Sans" w:hAnsi="Open Sans" w:cs="Open Sans"/>
          <w:lang w:val="en-US"/>
        </w:rPr>
        <w:t xml:space="preserve"> December 2021.</w:t>
      </w:r>
      <w:r w:rsidR="00164D47" w:rsidRPr="00493AC6">
        <w:rPr>
          <w:rFonts w:ascii="Open Sans" w:hAnsi="Open Sans" w:cs="Open Sans"/>
          <w:lang w:val="en-US"/>
        </w:rPr>
        <w:t xml:space="preserve"> This period includes just under three months (January – March) in which the UK was under lockdown.</w:t>
      </w:r>
      <w:r w:rsidR="0045652E" w:rsidRPr="00493AC6">
        <w:rPr>
          <w:rFonts w:ascii="Open Sans" w:hAnsi="Open Sans" w:cs="Open Sans"/>
          <w:lang w:val="en-US"/>
        </w:rPr>
        <w:t xml:space="preserve"> </w:t>
      </w:r>
      <w:r w:rsidR="00764687" w:rsidRPr="00493AC6">
        <w:rPr>
          <w:rFonts w:ascii="Open Sans" w:hAnsi="Open Sans" w:cs="Open Sans"/>
        </w:rPr>
        <w:t xml:space="preserve">Of these </w:t>
      </w:r>
      <w:r w:rsidR="0045652E" w:rsidRPr="00493AC6">
        <w:rPr>
          <w:rFonts w:ascii="Open Sans" w:hAnsi="Open Sans" w:cs="Open Sans"/>
        </w:rPr>
        <w:t>referrals 71.7% (220</w:t>
      </w:r>
      <w:r w:rsidR="00764687" w:rsidRPr="00493AC6">
        <w:rPr>
          <w:rFonts w:ascii="Open Sans" w:hAnsi="Open Sans" w:cs="Open Sans"/>
        </w:rPr>
        <w:t xml:space="preserve"> referrals</w:t>
      </w:r>
      <w:r w:rsidR="0045652E" w:rsidRPr="00493AC6">
        <w:rPr>
          <w:rFonts w:ascii="Open Sans" w:hAnsi="Open Sans" w:cs="Open Sans"/>
        </w:rPr>
        <w:t>) resulted in support being given by the project. Eleven women were supported more than once during the period</w:t>
      </w:r>
      <w:r w:rsidR="00D8079F" w:rsidRPr="00493AC6">
        <w:rPr>
          <w:rFonts w:ascii="Open Sans" w:hAnsi="Open Sans" w:cs="Open Sans"/>
        </w:rPr>
        <w:t>,</w:t>
      </w:r>
      <w:r w:rsidR="0045652E" w:rsidRPr="00493AC6">
        <w:rPr>
          <w:rFonts w:ascii="Open Sans" w:hAnsi="Open Sans" w:cs="Open Sans"/>
        </w:rPr>
        <w:t xml:space="preserve"> </w:t>
      </w:r>
      <w:r w:rsidR="00D8079F" w:rsidRPr="00493AC6">
        <w:rPr>
          <w:rFonts w:ascii="Open Sans" w:hAnsi="Open Sans" w:cs="Open Sans"/>
        </w:rPr>
        <w:t>meaning that a total of 209 women were</w:t>
      </w:r>
      <w:r w:rsidR="0065265B" w:rsidRPr="00493AC6">
        <w:rPr>
          <w:rFonts w:ascii="Open Sans" w:hAnsi="Open Sans" w:cs="Open Sans"/>
        </w:rPr>
        <w:t xml:space="preserve"> accepted </w:t>
      </w:r>
      <w:r w:rsidR="007C35BE" w:rsidRPr="00493AC6">
        <w:rPr>
          <w:rFonts w:ascii="Open Sans" w:hAnsi="Open Sans" w:cs="Open Sans"/>
        </w:rPr>
        <w:t>into</w:t>
      </w:r>
      <w:r w:rsidR="00AD2866" w:rsidRPr="00493AC6">
        <w:rPr>
          <w:rFonts w:ascii="Open Sans" w:hAnsi="Open Sans" w:cs="Open Sans"/>
        </w:rPr>
        <w:t xml:space="preserve"> the NWTA project </w:t>
      </w:r>
      <w:r w:rsidR="00540AA4" w:rsidRPr="00493AC6">
        <w:rPr>
          <w:rFonts w:ascii="Open Sans" w:hAnsi="Open Sans" w:cs="Open Sans"/>
        </w:rPr>
        <w:t>in</w:t>
      </w:r>
      <w:r w:rsidR="0065265B" w:rsidRPr="00493AC6">
        <w:rPr>
          <w:rFonts w:ascii="Open Sans" w:hAnsi="Open Sans" w:cs="Open Sans"/>
        </w:rPr>
        <w:t xml:space="preserve"> this time frame.</w:t>
      </w:r>
      <w:r w:rsidR="00A2478A" w:rsidRPr="00493AC6">
        <w:rPr>
          <w:rStyle w:val="FootnoteReference"/>
          <w:rFonts w:ascii="Open Sans" w:hAnsi="Open Sans" w:cs="Open Sans"/>
        </w:rPr>
        <w:footnoteReference w:id="6"/>
      </w:r>
    </w:p>
    <w:p w14:paraId="365F60BC" w14:textId="6B218067" w:rsidR="00A00BBB" w:rsidRPr="00493AC6" w:rsidRDefault="6A836B4C" w:rsidP="007E72F1">
      <w:pPr>
        <w:spacing w:before="240"/>
        <w:rPr>
          <w:rFonts w:ascii="Open Sans" w:hAnsi="Open Sans" w:cs="Open Sans"/>
          <w:lang w:val="en-US"/>
        </w:rPr>
      </w:pPr>
      <w:r w:rsidRPr="00493AC6">
        <w:rPr>
          <w:rFonts w:ascii="Open Sans" w:hAnsi="Open Sans" w:cs="Open Sans"/>
          <w:lang w:val="en-US"/>
        </w:rPr>
        <w:t xml:space="preserve">Where women did not go on to receive support from the NWTA project, the most frequently cited </w:t>
      </w:r>
      <w:r w:rsidR="00B037CD" w:rsidRPr="00493AC6">
        <w:rPr>
          <w:rFonts w:ascii="Open Sans" w:hAnsi="Open Sans" w:cs="Open Sans"/>
          <w:lang w:val="en-US"/>
        </w:rPr>
        <w:t>reason was</w:t>
      </w:r>
      <w:r w:rsidRPr="00493AC6">
        <w:rPr>
          <w:rFonts w:ascii="Open Sans" w:hAnsi="Open Sans" w:cs="Open Sans"/>
          <w:lang w:val="en-US"/>
        </w:rPr>
        <w:t xml:space="preserve"> that caseworkers were unable to contact them (</w:t>
      </w:r>
      <w:r w:rsidR="0C5DCFBE" w:rsidRPr="00493AC6">
        <w:rPr>
          <w:rFonts w:ascii="Open Sans" w:hAnsi="Open Sans" w:cs="Open Sans"/>
          <w:lang w:val="en-US"/>
        </w:rPr>
        <w:t>43.6</w:t>
      </w:r>
      <w:r w:rsidRPr="00493AC6">
        <w:rPr>
          <w:rFonts w:ascii="Open Sans" w:hAnsi="Open Sans" w:cs="Open Sans"/>
          <w:lang w:val="en-US"/>
        </w:rPr>
        <w:t>%).</w:t>
      </w:r>
      <w:r w:rsidR="22BD7D02" w:rsidRPr="00493AC6">
        <w:rPr>
          <w:rFonts w:ascii="Open Sans" w:hAnsi="Open Sans" w:cs="Open Sans"/>
          <w:lang w:val="en-US"/>
        </w:rPr>
        <w:t xml:space="preserve"> </w:t>
      </w:r>
      <w:r w:rsidR="00D3172F" w:rsidRPr="00493AC6">
        <w:rPr>
          <w:rFonts w:ascii="Open Sans" w:hAnsi="Open Sans" w:cs="Open Sans"/>
          <w:lang w:val="en-US"/>
        </w:rPr>
        <w:t>This is usually one of the most common reasons practitioners are unable to accept a referral.</w:t>
      </w:r>
      <w:r w:rsidR="000909C6" w:rsidRPr="00493AC6">
        <w:rPr>
          <w:rStyle w:val="FootnoteReference"/>
          <w:rFonts w:ascii="Open Sans" w:hAnsi="Open Sans" w:cs="Open Sans"/>
          <w:lang w:val="en-US"/>
        </w:rPr>
        <w:footnoteReference w:id="7"/>
      </w:r>
      <w:r w:rsidR="00D3172F" w:rsidRPr="00493AC6">
        <w:rPr>
          <w:rFonts w:ascii="Open Sans" w:hAnsi="Open Sans" w:cs="Open Sans"/>
          <w:lang w:val="en-US"/>
        </w:rPr>
        <w:t xml:space="preserve"> However, this year we have seen a notably higher percentage of </w:t>
      </w:r>
      <w:r w:rsidR="00D3172F" w:rsidRPr="00493AC6">
        <w:rPr>
          <w:rFonts w:ascii="Open Sans" w:hAnsi="Open Sans" w:cs="Open Sans"/>
          <w:lang w:val="en-US"/>
        </w:rPr>
        <w:lastRenderedPageBreak/>
        <w:t xml:space="preserve">referrals </w:t>
      </w:r>
      <w:r w:rsidR="003D0569" w:rsidRPr="00493AC6">
        <w:rPr>
          <w:rFonts w:ascii="Open Sans" w:hAnsi="Open Sans" w:cs="Open Sans"/>
          <w:lang w:val="en-US"/>
        </w:rPr>
        <w:t>unable to be</w:t>
      </w:r>
      <w:r w:rsidR="00646FF6" w:rsidRPr="00493AC6">
        <w:rPr>
          <w:rFonts w:ascii="Open Sans" w:hAnsi="Open Sans" w:cs="Open Sans"/>
          <w:lang w:val="en-US"/>
        </w:rPr>
        <w:t xml:space="preserve"> </w:t>
      </w:r>
      <w:r w:rsidR="00DC2638" w:rsidRPr="00493AC6">
        <w:rPr>
          <w:rFonts w:ascii="Open Sans" w:hAnsi="Open Sans" w:cs="Open Sans"/>
          <w:lang w:val="en-US"/>
        </w:rPr>
        <w:t>accepted</w:t>
      </w:r>
      <w:r w:rsidR="00D3172F" w:rsidRPr="00493AC6">
        <w:rPr>
          <w:rFonts w:ascii="Open Sans" w:hAnsi="Open Sans" w:cs="Open Sans"/>
          <w:lang w:val="en-US"/>
        </w:rPr>
        <w:t xml:space="preserve"> on t</w:t>
      </w:r>
      <w:r w:rsidR="00125ACC" w:rsidRPr="00493AC6">
        <w:rPr>
          <w:rFonts w:ascii="Open Sans" w:hAnsi="Open Sans" w:cs="Open Sans"/>
          <w:lang w:val="en-US"/>
        </w:rPr>
        <w:t>his</w:t>
      </w:r>
      <w:r w:rsidR="00D3172F" w:rsidRPr="00493AC6">
        <w:rPr>
          <w:rFonts w:ascii="Open Sans" w:hAnsi="Open Sans" w:cs="Open Sans"/>
          <w:lang w:val="en-US"/>
        </w:rPr>
        <w:t xml:space="preserve"> basis compared to previous years.</w:t>
      </w:r>
      <w:r w:rsidR="00A00BBB" w:rsidRPr="00493AC6">
        <w:rPr>
          <w:rStyle w:val="FootnoteReference"/>
          <w:rFonts w:ascii="Open Sans" w:hAnsi="Open Sans" w:cs="Open Sans"/>
          <w:lang w:val="en-US"/>
        </w:rPr>
        <w:footnoteReference w:id="8"/>
      </w:r>
      <w:r w:rsidR="726777FE" w:rsidRPr="00493AC6">
        <w:rPr>
          <w:rFonts w:ascii="Open Sans" w:hAnsi="Open Sans" w:cs="Open Sans"/>
          <w:lang w:val="en-US"/>
        </w:rPr>
        <w:t xml:space="preserve"> </w:t>
      </w:r>
    </w:p>
    <w:p w14:paraId="6E788BC1" w14:textId="100D269A" w:rsidR="00A00BBB" w:rsidRPr="00493AC6" w:rsidRDefault="726777FE" w:rsidP="007E72F1">
      <w:pPr>
        <w:spacing w:before="240"/>
        <w:rPr>
          <w:rFonts w:ascii="Open Sans" w:hAnsi="Open Sans" w:cs="Open Sans"/>
          <w:lang w:val="en-US"/>
        </w:rPr>
      </w:pPr>
      <w:r w:rsidRPr="00493AC6">
        <w:rPr>
          <w:rFonts w:ascii="Open Sans" w:hAnsi="Open Sans" w:cs="Open Sans"/>
          <w:lang w:val="en-US"/>
        </w:rPr>
        <w:t xml:space="preserve">There are many reasons support workers may not be able to contact survivors, and it may not necessarily be that they do not require support. </w:t>
      </w:r>
      <w:r w:rsidR="22BD7D02" w:rsidRPr="00493AC6">
        <w:rPr>
          <w:rFonts w:ascii="Open Sans" w:hAnsi="Open Sans" w:cs="Open Sans"/>
          <w:lang w:val="en-US"/>
        </w:rPr>
        <w:t xml:space="preserve">We know that </w:t>
      </w:r>
      <w:r w:rsidR="39534BEB" w:rsidRPr="00493AC6">
        <w:rPr>
          <w:rFonts w:ascii="Open Sans" w:hAnsi="Open Sans" w:cs="Open Sans"/>
          <w:lang w:val="en-US"/>
        </w:rPr>
        <w:t xml:space="preserve">preparing to </w:t>
      </w:r>
      <w:r w:rsidR="574FCA6D" w:rsidRPr="00493AC6">
        <w:rPr>
          <w:rFonts w:ascii="Open Sans" w:hAnsi="Open Sans" w:cs="Open Sans"/>
          <w:lang w:val="en-US"/>
        </w:rPr>
        <w:t xml:space="preserve">leave an abusive partner is </w:t>
      </w:r>
      <w:r w:rsidR="4CF9E21C" w:rsidRPr="00493AC6">
        <w:rPr>
          <w:rFonts w:ascii="Open Sans" w:hAnsi="Open Sans" w:cs="Open Sans"/>
          <w:lang w:val="en-US"/>
        </w:rPr>
        <w:t xml:space="preserve">often </w:t>
      </w:r>
      <w:r w:rsidR="6E607458" w:rsidRPr="00493AC6">
        <w:rPr>
          <w:rFonts w:ascii="Open Sans" w:hAnsi="Open Sans" w:cs="Open Sans"/>
          <w:lang w:val="en-US"/>
        </w:rPr>
        <w:t>a dangerous and stressful time for a survivor</w:t>
      </w:r>
      <w:r w:rsidR="574FCA6D" w:rsidRPr="00493AC6">
        <w:rPr>
          <w:rFonts w:ascii="Open Sans" w:hAnsi="Open Sans" w:cs="Open Sans"/>
          <w:lang w:val="en-US"/>
        </w:rPr>
        <w:t xml:space="preserve">, </w:t>
      </w:r>
      <w:r w:rsidR="6E607458" w:rsidRPr="00493AC6">
        <w:rPr>
          <w:rFonts w:ascii="Open Sans" w:hAnsi="Open Sans" w:cs="Open Sans"/>
          <w:lang w:val="en-US"/>
        </w:rPr>
        <w:t>during which they may be unable to an</w:t>
      </w:r>
      <w:r w:rsidR="20899BA2" w:rsidRPr="00493AC6">
        <w:rPr>
          <w:rFonts w:ascii="Open Sans" w:hAnsi="Open Sans" w:cs="Open Sans"/>
          <w:lang w:val="en-US"/>
        </w:rPr>
        <w:t>swer the phone</w:t>
      </w:r>
      <w:r w:rsidR="4D668CF5" w:rsidRPr="00493AC6">
        <w:rPr>
          <w:rFonts w:ascii="Open Sans" w:hAnsi="Open Sans" w:cs="Open Sans"/>
          <w:lang w:val="en-US"/>
        </w:rPr>
        <w:t xml:space="preserve"> because the perpetrator was nearby</w:t>
      </w:r>
      <w:r w:rsidR="20899BA2" w:rsidRPr="00493AC6">
        <w:rPr>
          <w:rFonts w:ascii="Open Sans" w:hAnsi="Open Sans" w:cs="Open Sans"/>
          <w:lang w:val="en-US"/>
        </w:rPr>
        <w:t>, or perhaps do not have the</w:t>
      </w:r>
      <w:r w:rsidR="6E607458" w:rsidRPr="00493AC6">
        <w:rPr>
          <w:rFonts w:ascii="Open Sans" w:hAnsi="Open Sans" w:cs="Open Sans"/>
          <w:lang w:val="en-US"/>
        </w:rPr>
        <w:t xml:space="preserve"> phone credit to call a support service back</w:t>
      </w:r>
      <w:r w:rsidR="574FCA6D" w:rsidRPr="00493AC6">
        <w:rPr>
          <w:rFonts w:ascii="Open Sans" w:hAnsi="Open Sans" w:cs="Open Sans"/>
          <w:lang w:val="en-US"/>
        </w:rPr>
        <w:t>.</w:t>
      </w:r>
      <w:r w:rsidR="46DBABAB" w:rsidRPr="00493AC6">
        <w:rPr>
          <w:rFonts w:ascii="Open Sans" w:hAnsi="Open Sans" w:cs="Open Sans"/>
          <w:lang w:val="en-US"/>
        </w:rPr>
        <w:t xml:space="preserve"> </w:t>
      </w:r>
    </w:p>
    <w:p w14:paraId="21966E2A" w14:textId="1F60AAD8" w:rsidR="00152164" w:rsidRPr="00493AC6" w:rsidRDefault="00152164" w:rsidP="007E72F1">
      <w:pPr>
        <w:spacing w:before="240"/>
        <w:rPr>
          <w:rFonts w:ascii="Open Sans" w:hAnsi="Open Sans" w:cs="Open Sans"/>
          <w:lang w:val="en-US"/>
        </w:rPr>
      </w:pPr>
      <w:r w:rsidRPr="00493AC6">
        <w:rPr>
          <w:rFonts w:ascii="Open Sans" w:hAnsi="Open Sans" w:cs="Open Sans"/>
          <w:lang w:val="en-US"/>
        </w:rPr>
        <w:t>The UK lockdown may have played a role in the increased number of survivors the NWTA project were unable to contact</w:t>
      </w:r>
      <w:r w:rsidR="004A21EF" w:rsidRPr="00493AC6">
        <w:rPr>
          <w:rFonts w:ascii="Open Sans" w:hAnsi="Open Sans" w:cs="Open Sans"/>
          <w:lang w:val="en-US"/>
        </w:rPr>
        <w:t>.</w:t>
      </w:r>
      <w:r w:rsidRPr="00493AC6">
        <w:rPr>
          <w:rFonts w:ascii="Open Sans" w:hAnsi="Open Sans" w:cs="Open Sans"/>
          <w:lang w:val="en-US"/>
        </w:rPr>
        <w:t xml:space="preserve"> In our report on the impact of the Covid-19 pandemic on survivors, A Perfect Storm, we detailed how perpetrators used lockdown restrictions, as well as Covid-19 itself, as a deliberate tool to control and manipulate survivors (Women’s Aid, 2020</w:t>
      </w:r>
      <w:r w:rsidR="00D01F8D" w:rsidRPr="00493AC6">
        <w:rPr>
          <w:rFonts w:ascii="Open Sans" w:hAnsi="Open Sans" w:cs="Open Sans"/>
          <w:lang w:val="en-US"/>
        </w:rPr>
        <w:t>a</w:t>
      </w:r>
      <w:r w:rsidRPr="00493AC6">
        <w:rPr>
          <w:rFonts w:ascii="Open Sans" w:hAnsi="Open Sans" w:cs="Open Sans"/>
          <w:lang w:val="en-US"/>
        </w:rPr>
        <w:t xml:space="preserve">). This included </w:t>
      </w:r>
      <w:r w:rsidR="00F124A3" w:rsidRPr="00493AC6">
        <w:rPr>
          <w:rFonts w:ascii="Open Sans" w:hAnsi="Open Sans" w:cs="Open Sans"/>
          <w:lang w:val="en-US"/>
        </w:rPr>
        <w:t>perpetrator</w:t>
      </w:r>
      <w:r w:rsidR="003D0569" w:rsidRPr="00493AC6">
        <w:rPr>
          <w:rFonts w:ascii="Open Sans" w:hAnsi="Open Sans" w:cs="Open Sans"/>
          <w:color w:val="FFFFFF" w:themeColor="background1"/>
          <w:lang w:val="en-US"/>
        </w:rPr>
        <w:t xml:space="preserve"> </w:t>
      </w:r>
      <w:r w:rsidRPr="00493AC6">
        <w:rPr>
          <w:rFonts w:ascii="Open Sans" w:hAnsi="Open Sans" w:cs="Open Sans"/>
          <w:lang w:val="en-US"/>
        </w:rPr>
        <w:t xml:space="preserve">using lockdown restrictions to prevent women leaving, imposing very strict isolation rules such as not allowing survivors to leave the house for exercise, along with increased monitoring and surveillance of </w:t>
      </w:r>
      <w:r w:rsidR="00555F51" w:rsidRPr="00493AC6">
        <w:rPr>
          <w:rFonts w:ascii="Open Sans" w:hAnsi="Open Sans" w:cs="Open Sans"/>
          <w:lang w:val="en-US"/>
        </w:rPr>
        <w:t>behavior</w:t>
      </w:r>
      <w:r w:rsidRPr="00493AC6">
        <w:rPr>
          <w:rFonts w:ascii="Open Sans" w:hAnsi="Open Sans" w:cs="Open Sans"/>
          <w:lang w:val="en-US"/>
        </w:rPr>
        <w:t xml:space="preserve"> and online activity. On the 4</w:t>
      </w:r>
      <w:r w:rsidRPr="00493AC6">
        <w:rPr>
          <w:rFonts w:ascii="Open Sans" w:hAnsi="Open Sans" w:cs="Open Sans"/>
          <w:vertAlign w:val="superscript"/>
          <w:lang w:val="en-US"/>
        </w:rPr>
        <w:t>th</w:t>
      </w:r>
      <w:r w:rsidRPr="00493AC6">
        <w:rPr>
          <w:rFonts w:ascii="Open Sans" w:hAnsi="Open Sans" w:cs="Open Sans"/>
          <w:lang w:val="en-US"/>
        </w:rPr>
        <w:t xml:space="preserve"> January 2021 the UK </w:t>
      </w:r>
      <w:r w:rsidRPr="00493AC6">
        <w:rPr>
          <w:rFonts w:ascii="Open Sans" w:hAnsi="Open Sans" w:cs="Open Sans"/>
          <w:lang w:val="en-US"/>
        </w:rPr>
        <w:lastRenderedPageBreak/>
        <w:t>Government announced the third national lockdown that lasted through to March 2021. During these months, two of the referrals accepted into the NWTA project explicitly mentioned the perpetrator using the lockdown to monitor the survivor as part of the reason for referral, as this meant the survivor was more restricted in her ability to seek refuge by herself.</w:t>
      </w:r>
    </w:p>
    <w:p w14:paraId="230D0F43" w14:textId="5F092085" w:rsidR="00FF70CE" w:rsidRPr="00493AC6" w:rsidRDefault="31EFBA2D" w:rsidP="007E72F1">
      <w:pPr>
        <w:spacing w:before="240"/>
        <w:rPr>
          <w:rFonts w:ascii="Open Sans" w:hAnsi="Open Sans" w:cs="Open Sans"/>
          <w:lang w:val="en-US"/>
        </w:rPr>
      </w:pPr>
      <w:r w:rsidRPr="00493AC6">
        <w:rPr>
          <w:rFonts w:ascii="Open Sans" w:hAnsi="Open Sans" w:cs="Open Sans"/>
          <w:lang w:val="en-US"/>
        </w:rPr>
        <w:t>From March 2021</w:t>
      </w:r>
      <w:r w:rsidR="08500AC3" w:rsidRPr="00493AC6">
        <w:rPr>
          <w:rFonts w:ascii="Open Sans" w:hAnsi="Open Sans" w:cs="Open Sans"/>
          <w:lang w:val="en-US"/>
        </w:rPr>
        <w:t>, a road</w:t>
      </w:r>
      <w:r w:rsidR="0E289EAA" w:rsidRPr="00493AC6">
        <w:rPr>
          <w:rFonts w:ascii="Open Sans" w:hAnsi="Open Sans" w:cs="Open Sans"/>
          <w:lang w:val="en-US"/>
        </w:rPr>
        <w:t>map out of lockdown was unveiled</w:t>
      </w:r>
      <w:r w:rsidR="4BABBFEC" w:rsidRPr="00493AC6">
        <w:rPr>
          <w:rFonts w:ascii="Open Sans" w:hAnsi="Open Sans" w:cs="Open Sans"/>
          <w:lang w:val="en-US"/>
        </w:rPr>
        <w:t xml:space="preserve">, with most restrictions </w:t>
      </w:r>
      <w:r w:rsidR="0E289EAA" w:rsidRPr="00493AC6">
        <w:rPr>
          <w:rFonts w:ascii="Open Sans" w:hAnsi="Open Sans" w:cs="Open Sans"/>
          <w:lang w:val="en-US"/>
        </w:rPr>
        <w:t xml:space="preserve">projected to </w:t>
      </w:r>
      <w:r w:rsidR="4BABBFEC" w:rsidRPr="00493AC6">
        <w:rPr>
          <w:rFonts w:ascii="Open Sans" w:hAnsi="Open Sans" w:cs="Open Sans"/>
          <w:lang w:val="en-US"/>
        </w:rPr>
        <w:t>end in the summer. Although the route</w:t>
      </w:r>
      <w:r w:rsidR="39A73E49" w:rsidRPr="00493AC6">
        <w:rPr>
          <w:rFonts w:ascii="Open Sans" w:hAnsi="Open Sans" w:cs="Open Sans"/>
          <w:lang w:val="en-US"/>
        </w:rPr>
        <w:t xml:space="preserve"> </w:t>
      </w:r>
      <w:r w:rsidR="4BABBFEC" w:rsidRPr="00493AC6">
        <w:rPr>
          <w:rFonts w:ascii="Open Sans" w:hAnsi="Open Sans" w:cs="Open Sans"/>
          <w:lang w:val="en-US"/>
        </w:rPr>
        <w:t xml:space="preserve">towards living with Covid-19 has not been </w:t>
      </w:r>
      <w:r w:rsidRPr="00493AC6">
        <w:rPr>
          <w:rFonts w:ascii="Open Sans" w:hAnsi="Open Sans" w:cs="Open Sans"/>
          <w:lang w:val="en-US"/>
        </w:rPr>
        <w:t xml:space="preserve">quite so </w:t>
      </w:r>
      <w:r w:rsidR="4BABBFEC" w:rsidRPr="00493AC6">
        <w:rPr>
          <w:rFonts w:ascii="Open Sans" w:hAnsi="Open Sans" w:cs="Open Sans"/>
          <w:lang w:val="en-US"/>
        </w:rPr>
        <w:t>straightforward, as</w:t>
      </w:r>
      <w:r w:rsidR="22BD7D02" w:rsidRPr="00493AC6">
        <w:rPr>
          <w:rFonts w:ascii="Open Sans" w:hAnsi="Open Sans" w:cs="Open Sans"/>
          <w:lang w:val="en-US"/>
        </w:rPr>
        <w:t xml:space="preserve"> of </w:t>
      </w:r>
      <w:r w:rsidR="73D60A44" w:rsidRPr="00493AC6">
        <w:rPr>
          <w:rFonts w:ascii="Open Sans" w:hAnsi="Open Sans" w:cs="Open Sans"/>
          <w:lang w:val="en-US"/>
        </w:rPr>
        <w:t xml:space="preserve">February 2022 all </w:t>
      </w:r>
      <w:r w:rsidR="1387B3BD" w:rsidRPr="00493AC6">
        <w:rPr>
          <w:rFonts w:ascii="Open Sans" w:hAnsi="Open Sans" w:cs="Open Sans"/>
          <w:lang w:val="en-US"/>
        </w:rPr>
        <w:t>restricti</w:t>
      </w:r>
      <w:r w:rsidR="4BABBFEC" w:rsidRPr="00493AC6">
        <w:rPr>
          <w:rFonts w:ascii="Open Sans" w:hAnsi="Open Sans" w:cs="Open Sans"/>
          <w:lang w:val="en-US"/>
        </w:rPr>
        <w:t>ons have been lifted in England. H</w:t>
      </w:r>
      <w:r w:rsidR="1387B3BD" w:rsidRPr="00493AC6">
        <w:rPr>
          <w:rFonts w:ascii="Open Sans" w:hAnsi="Open Sans" w:cs="Open Sans"/>
          <w:lang w:val="en-US"/>
        </w:rPr>
        <w:t xml:space="preserve">owever, some </w:t>
      </w:r>
      <w:r w:rsidR="3555BF9A" w:rsidRPr="00493AC6">
        <w:rPr>
          <w:rFonts w:ascii="Open Sans" w:hAnsi="Open Sans" w:cs="Open Sans"/>
          <w:lang w:val="en-US"/>
        </w:rPr>
        <w:t xml:space="preserve">features that came about because of the pandemic, such as </w:t>
      </w:r>
      <w:r w:rsidR="4C818E84" w:rsidRPr="00493AC6">
        <w:rPr>
          <w:rFonts w:ascii="Open Sans" w:hAnsi="Open Sans" w:cs="Open Sans"/>
          <w:lang w:val="en-US"/>
        </w:rPr>
        <w:t>home</w:t>
      </w:r>
      <w:r w:rsidR="7D026953" w:rsidRPr="00493AC6">
        <w:rPr>
          <w:rFonts w:ascii="Open Sans" w:hAnsi="Open Sans" w:cs="Open Sans"/>
          <w:lang w:val="en-US"/>
        </w:rPr>
        <w:t xml:space="preserve">-working, still remain for many </w:t>
      </w:r>
      <w:r w:rsidR="212F4AB0" w:rsidRPr="00493AC6">
        <w:rPr>
          <w:rFonts w:ascii="Open Sans" w:hAnsi="Open Sans" w:cs="Open Sans"/>
          <w:lang w:val="en-US"/>
        </w:rPr>
        <w:t xml:space="preserve">people. For instance, according to </w:t>
      </w:r>
      <w:r w:rsidR="6AC5C04E" w:rsidRPr="00493AC6">
        <w:rPr>
          <w:rFonts w:ascii="Open Sans" w:hAnsi="Open Sans" w:cs="Open Sans"/>
          <w:lang w:val="en-US"/>
        </w:rPr>
        <w:t>the Office for National Statistics (ONS</w:t>
      </w:r>
      <w:r w:rsidR="4E6EC7C4" w:rsidRPr="00493AC6">
        <w:rPr>
          <w:rFonts w:ascii="Open Sans" w:hAnsi="Open Sans" w:cs="Open Sans"/>
          <w:lang w:val="en-US"/>
        </w:rPr>
        <w:t>, 2022</w:t>
      </w:r>
      <w:r w:rsidR="6AC5C04E" w:rsidRPr="00493AC6">
        <w:rPr>
          <w:rFonts w:ascii="Open Sans" w:hAnsi="Open Sans" w:cs="Open Sans"/>
          <w:lang w:val="en-US"/>
        </w:rPr>
        <w:t>)</w:t>
      </w:r>
      <w:r w:rsidR="3D926F10" w:rsidRPr="00493AC6">
        <w:rPr>
          <w:rFonts w:ascii="Open Sans" w:hAnsi="Open Sans" w:cs="Open Sans"/>
          <w:lang w:val="en-US"/>
        </w:rPr>
        <w:t>, between 19</w:t>
      </w:r>
      <w:r w:rsidR="3D926F10" w:rsidRPr="00493AC6">
        <w:rPr>
          <w:rFonts w:ascii="Open Sans" w:hAnsi="Open Sans" w:cs="Open Sans"/>
          <w:vertAlign w:val="superscript"/>
          <w:lang w:val="en-US"/>
        </w:rPr>
        <w:t>th</w:t>
      </w:r>
      <w:r w:rsidR="3D926F10" w:rsidRPr="00493AC6">
        <w:rPr>
          <w:rFonts w:ascii="Open Sans" w:hAnsi="Open Sans" w:cs="Open Sans"/>
          <w:lang w:val="en-US"/>
        </w:rPr>
        <w:t xml:space="preserve"> and 30</w:t>
      </w:r>
      <w:r w:rsidR="3D926F10" w:rsidRPr="00493AC6">
        <w:rPr>
          <w:rFonts w:ascii="Open Sans" w:hAnsi="Open Sans" w:cs="Open Sans"/>
          <w:vertAlign w:val="superscript"/>
          <w:lang w:val="en-US"/>
        </w:rPr>
        <w:t>th</w:t>
      </w:r>
      <w:r w:rsidR="3D926F10" w:rsidRPr="00493AC6">
        <w:rPr>
          <w:rFonts w:ascii="Open Sans" w:hAnsi="Open Sans" w:cs="Open Sans"/>
          <w:lang w:val="en-US"/>
        </w:rPr>
        <w:t xml:space="preserve"> January 2022,</w:t>
      </w:r>
      <w:r w:rsidR="6AC5C04E" w:rsidRPr="00493AC6">
        <w:rPr>
          <w:rFonts w:ascii="Open Sans" w:hAnsi="Open Sans" w:cs="Open Sans"/>
          <w:lang w:val="en-US"/>
        </w:rPr>
        <w:t xml:space="preserve"> 36% of adults </w:t>
      </w:r>
      <w:r w:rsidR="3D926F10" w:rsidRPr="00493AC6">
        <w:rPr>
          <w:rFonts w:ascii="Open Sans" w:hAnsi="Open Sans" w:cs="Open Sans"/>
          <w:lang w:val="en-US"/>
        </w:rPr>
        <w:t>in the UK reported having worked from home at least once in the last seven days because of the Covid-19 pandemic.</w:t>
      </w:r>
      <w:r w:rsidR="4E6EC7C4" w:rsidRPr="00493AC6">
        <w:rPr>
          <w:rFonts w:ascii="Open Sans" w:hAnsi="Open Sans" w:cs="Open Sans"/>
          <w:lang w:val="en-US"/>
        </w:rPr>
        <w:t xml:space="preserve"> Whilst the ability to work from home </w:t>
      </w:r>
      <w:r w:rsidR="71F54ED3" w:rsidRPr="00493AC6">
        <w:rPr>
          <w:rFonts w:ascii="Open Sans" w:hAnsi="Open Sans" w:cs="Open Sans"/>
          <w:lang w:val="en-US"/>
        </w:rPr>
        <w:t xml:space="preserve">can </w:t>
      </w:r>
      <w:r w:rsidR="013550EF" w:rsidRPr="00493AC6">
        <w:rPr>
          <w:rFonts w:ascii="Open Sans" w:hAnsi="Open Sans" w:cs="Open Sans"/>
          <w:lang w:val="en-US"/>
        </w:rPr>
        <w:t xml:space="preserve">bring benefits to those who are able to do so, such as saving money on </w:t>
      </w:r>
      <w:r w:rsidR="531EDA8C" w:rsidRPr="00493AC6">
        <w:rPr>
          <w:rFonts w:ascii="Open Sans" w:hAnsi="Open Sans" w:cs="Open Sans"/>
          <w:lang w:val="en-US"/>
        </w:rPr>
        <w:t>commuting</w:t>
      </w:r>
      <w:r w:rsidR="0A0EBBA1" w:rsidRPr="00493AC6">
        <w:rPr>
          <w:rFonts w:ascii="Open Sans" w:hAnsi="Open Sans" w:cs="Open Sans"/>
          <w:lang w:val="en-US"/>
        </w:rPr>
        <w:t>, it could</w:t>
      </w:r>
      <w:r w:rsidR="013550EF" w:rsidRPr="00493AC6">
        <w:rPr>
          <w:rFonts w:ascii="Open Sans" w:hAnsi="Open Sans" w:cs="Open Sans"/>
          <w:lang w:val="en-US"/>
        </w:rPr>
        <w:t xml:space="preserve"> </w:t>
      </w:r>
      <w:r w:rsidR="77749CAA" w:rsidRPr="00493AC6">
        <w:rPr>
          <w:rFonts w:ascii="Open Sans" w:hAnsi="Open Sans" w:cs="Open Sans"/>
          <w:lang w:val="en-US"/>
        </w:rPr>
        <w:t>also provide</w:t>
      </w:r>
      <w:r w:rsidR="10DF5F8A" w:rsidRPr="00493AC6">
        <w:rPr>
          <w:rFonts w:ascii="Open Sans" w:hAnsi="Open Sans" w:cs="Open Sans"/>
          <w:lang w:val="en-US"/>
        </w:rPr>
        <w:t xml:space="preserve"> opportunit</w:t>
      </w:r>
      <w:r w:rsidR="00F124A3" w:rsidRPr="00493AC6">
        <w:rPr>
          <w:rFonts w:ascii="Open Sans" w:hAnsi="Open Sans" w:cs="Open Sans"/>
          <w:lang w:val="en-US"/>
        </w:rPr>
        <w:t>ies</w:t>
      </w:r>
      <w:r w:rsidR="10DF5F8A" w:rsidRPr="00493AC6">
        <w:rPr>
          <w:rFonts w:ascii="Open Sans" w:hAnsi="Open Sans" w:cs="Open Sans"/>
          <w:lang w:val="en-US"/>
        </w:rPr>
        <w:t xml:space="preserve"> for perpetrators to exercise more control over survivors. </w:t>
      </w:r>
      <w:r w:rsidR="00661F49" w:rsidRPr="00493AC6">
        <w:rPr>
          <w:rFonts w:ascii="Open Sans" w:hAnsi="Open Sans" w:cs="Open Sans"/>
          <w:lang w:val="en-US"/>
        </w:rPr>
        <w:t xml:space="preserve">Therefore, </w:t>
      </w:r>
      <w:r w:rsidR="00F124A3" w:rsidRPr="00493AC6">
        <w:rPr>
          <w:rFonts w:ascii="Open Sans" w:hAnsi="Open Sans" w:cs="Open Sans"/>
          <w:lang w:val="en-US"/>
        </w:rPr>
        <w:t xml:space="preserve">we shall continue to closely monitor </w:t>
      </w:r>
      <w:r w:rsidR="00661F49" w:rsidRPr="00493AC6">
        <w:rPr>
          <w:rFonts w:ascii="Open Sans" w:hAnsi="Open Sans" w:cs="Open Sans"/>
          <w:lang w:val="en-US"/>
        </w:rPr>
        <w:t xml:space="preserve">this increase in the number of survivors who are not able to be contacted </w:t>
      </w:r>
      <w:r w:rsidR="00DD37CB" w:rsidRPr="00493AC6">
        <w:rPr>
          <w:rFonts w:ascii="Open Sans" w:hAnsi="Open Sans" w:cs="Open Sans"/>
          <w:lang w:val="en-US"/>
        </w:rPr>
        <w:t>by the project</w:t>
      </w:r>
      <w:r w:rsidR="00F124A3" w:rsidRPr="00493AC6">
        <w:rPr>
          <w:rFonts w:ascii="Open Sans" w:hAnsi="Open Sans" w:cs="Open Sans"/>
          <w:lang w:val="en-US"/>
        </w:rPr>
        <w:t>.</w:t>
      </w:r>
    </w:p>
    <w:p w14:paraId="470F3430" w14:textId="2E978C32" w:rsidR="006F7E99" w:rsidRPr="00493AC6" w:rsidRDefault="003710A7" w:rsidP="007E72F1">
      <w:pPr>
        <w:spacing w:before="240"/>
        <w:rPr>
          <w:rFonts w:ascii="Open Sans" w:hAnsi="Open Sans" w:cs="Open Sans"/>
          <w:caps/>
        </w:rPr>
      </w:pPr>
      <w:r w:rsidRPr="00493AC6">
        <w:rPr>
          <w:rFonts w:ascii="Open Sans" w:hAnsi="Open Sans" w:cs="Open Sans"/>
          <w:lang w:val="en-US"/>
        </w:rPr>
        <w:t xml:space="preserve">Another </w:t>
      </w:r>
      <w:r w:rsidR="2394CDB1" w:rsidRPr="00493AC6">
        <w:rPr>
          <w:rFonts w:ascii="Open Sans" w:hAnsi="Open Sans" w:cs="Open Sans"/>
          <w:lang w:val="en-US"/>
        </w:rPr>
        <w:t>reason that referrals into the project were</w:t>
      </w:r>
      <w:r w:rsidR="000519D4" w:rsidRPr="00493AC6">
        <w:rPr>
          <w:rFonts w:ascii="Open Sans" w:hAnsi="Open Sans" w:cs="Open Sans"/>
          <w:lang w:val="en-US"/>
        </w:rPr>
        <w:t xml:space="preserve"> unable to be accepted</w:t>
      </w:r>
      <w:r w:rsidR="2394CDB1" w:rsidRPr="00493AC6">
        <w:rPr>
          <w:rFonts w:ascii="Open Sans" w:hAnsi="Open Sans" w:cs="Open Sans"/>
          <w:lang w:val="en-US"/>
        </w:rPr>
        <w:t xml:space="preserve"> </w:t>
      </w:r>
      <w:r w:rsidRPr="00493AC6">
        <w:rPr>
          <w:rFonts w:ascii="Open Sans" w:hAnsi="Open Sans" w:cs="Open Sans"/>
          <w:lang w:val="en-US"/>
        </w:rPr>
        <w:t xml:space="preserve">was that </w:t>
      </w:r>
      <w:r w:rsidR="2394CDB1" w:rsidRPr="00493AC6">
        <w:rPr>
          <w:rFonts w:ascii="Open Sans" w:hAnsi="Open Sans" w:cs="Open Sans"/>
          <w:lang w:val="en-US"/>
        </w:rPr>
        <w:t xml:space="preserve">women no longer wanted support at that </w:t>
      </w:r>
      <w:r w:rsidR="2394CDB1" w:rsidRPr="00493AC6">
        <w:rPr>
          <w:rFonts w:ascii="Open Sans" w:hAnsi="Open Sans" w:cs="Open Sans"/>
          <w:lang w:val="en-US"/>
        </w:rPr>
        <w:lastRenderedPageBreak/>
        <w:t>time(18.8%)</w:t>
      </w:r>
      <w:r w:rsidR="61325EF2" w:rsidRPr="00493AC6">
        <w:rPr>
          <w:rFonts w:ascii="Open Sans" w:hAnsi="Open Sans" w:cs="Open Sans"/>
          <w:lang w:val="en-US"/>
        </w:rPr>
        <w:t xml:space="preserve">, reflecting how some survivors </w:t>
      </w:r>
      <w:r w:rsidR="423DFCED" w:rsidRPr="00493AC6">
        <w:rPr>
          <w:rFonts w:ascii="Open Sans" w:hAnsi="Open Sans" w:cs="Open Sans"/>
          <w:lang w:val="en-US"/>
        </w:rPr>
        <w:t xml:space="preserve">may seek help a number of times before successfully fleeing domestic abuse. </w:t>
      </w:r>
      <w:r w:rsidR="6234854C" w:rsidRPr="00493AC6">
        <w:rPr>
          <w:rFonts w:ascii="Open Sans" w:hAnsi="Open Sans" w:cs="Open Sans"/>
          <w:lang w:val="en-US"/>
        </w:rPr>
        <w:t xml:space="preserve">Some survivors did not go on to be supported by the project because they were already being adequately supported by another domestic abuse organisation (12.8%), </w:t>
      </w:r>
      <w:r w:rsidR="6234854C" w:rsidRPr="00493AC6">
        <w:rPr>
          <w:rFonts w:ascii="Open Sans" w:hAnsi="Open Sans" w:cs="Open Sans"/>
        </w:rPr>
        <w:t>for example, a refuge or a local outreach service.</w:t>
      </w:r>
      <w:r w:rsidR="340B264A" w:rsidRPr="00493AC6">
        <w:rPr>
          <w:rFonts w:ascii="Open Sans" w:hAnsi="Open Sans" w:cs="Open Sans"/>
        </w:rPr>
        <w:t xml:space="preserve"> This could be because the survivor had secured a refuge space between being referred and contacted by an NWTA practitioner, or that the practitioner felt that the survivor was already being sufficiently supported by </w:t>
      </w:r>
      <w:r w:rsidR="2B317230" w:rsidRPr="00493AC6">
        <w:rPr>
          <w:rFonts w:ascii="Open Sans" w:hAnsi="Open Sans" w:cs="Open Sans"/>
        </w:rPr>
        <w:t>a domestic abuse service</w:t>
      </w:r>
      <w:r w:rsidR="340B264A" w:rsidRPr="00493AC6">
        <w:rPr>
          <w:rFonts w:ascii="Open Sans" w:hAnsi="Open Sans" w:cs="Open Sans"/>
        </w:rPr>
        <w:t>.</w:t>
      </w:r>
      <w:r w:rsidR="0EE508B1" w:rsidRPr="00493AC6">
        <w:rPr>
          <w:rFonts w:ascii="Open Sans" w:hAnsi="Open Sans" w:cs="Open Sans"/>
        </w:rPr>
        <w:t xml:space="preserve"> A small number of referrals (11.8%) were ineligible for support, for example because the woman was not experiencing domestic abuse,</w:t>
      </w:r>
      <w:r w:rsidR="00E10B55" w:rsidRPr="00493AC6">
        <w:rPr>
          <w:rFonts w:ascii="Open Sans" w:hAnsi="Open Sans" w:cs="Open Sans"/>
        </w:rPr>
        <w:t xml:space="preserve"> or</w:t>
      </w:r>
      <w:r w:rsidR="0EE508B1" w:rsidRPr="00493AC6">
        <w:rPr>
          <w:rFonts w:ascii="Open Sans" w:hAnsi="Open Sans" w:cs="Open Sans"/>
        </w:rPr>
        <w:t xml:space="preserve"> the support she needed was not related to ac</w:t>
      </w:r>
      <w:r w:rsidR="00E10B55" w:rsidRPr="00493AC6">
        <w:rPr>
          <w:rFonts w:ascii="Open Sans" w:hAnsi="Open Sans" w:cs="Open Sans"/>
        </w:rPr>
        <w:t>cessing refuge or accommodation. Alternatively,</w:t>
      </w:r>
      <w:r w:rsidR="0EE508B1" w:rsidRPr="00493AC6">
        <w:rPr>
          <w:rFonts w:ascii="Open Sans" w:hAnsi="Open Sans" w:cs="Open Sans"/>
        </w:rPr>
        <w:t xml:space="preserve"> because the referral came via an agency </w:t>
      </w:r>
      <w:r w:rsidR="000E484F" w:rsidRPr="00493AC6">
        <w:rPr>
          <w:rFonts w:ascii="Open Sans" w:hAnsi="Open Sans" w:cs="Open Sans"/>
        </w:rPr>
        <w:t xml:space="preserve">such as the police, or social services, </w:t>
      </w:r>
      <w:r w:rsidR="006F7E99" w:rsidRPr="00493AC6">
        <w:rPr>
          <w:rFonts w:ascii="Open Sans" w:hAnsi="Open Sans" w:cs="Open Sans"/>
        </w:rPr>
        <w:t xml:space="preserve">or another service </w:t>
      </w:r>
      <w:r w:rsidR="00903FD0" w:rsidRPr="00493AC6">
        <w:rPr>
          <w:rFonts w:ascii="Open Sans" w:hAnsi="Open Sans" w:cs="Open Sans"/>
        </w:rPr>
        <w:t xml:space="preserve">that </w:t>
      </w:r>
      <w:r w:rsidR="006F7E99" w:rsidRPr="00493AC6">
        <w:rPr>
          <w:rFonts w:ascii="Open Sans" w:hAnsi="Open Sans" w:cs="Open Sans"/>
        </w:rPr>
        <w:t>are not a charity and receive funding to accommodate survivors themselves.</w:t>
      </w:r>
      <w:r w:rsidR="00DB3C55" w:rsidRPr="00493AC6">
        <w:rPr>
          <w:rFonts w:ascii="Open Sans" w:hAnsi="Open Sans" w:cs="Open Sans"/>
        </w:rPr>
        <w:t xml:space="preserve"> Although we do not accept direct referrals from these agencies, whilst case working we do liaise with a range of statutory professionals whilst supporting the survivor. </w:t>
      </w:r>
      <w:r w:rsidR="00A233AD" w:rsidRPr="00493AC6">
        <w:rPr>
          <w:rFonts w:ascii="Open Sans" w:hAnsi="Open Sans" w:cs="Open Sans"/>
        </w:rPr>
        <w:t xml:space="preserve">Alternatively, survivors </w:t>
      </w:r>
      <w:r w:rsidR="00DB3C55" w:rsidRPr="00493AC6">
        <w:rPr>
          <w:rFonts w:ascii="Open Sans" w:hAnsi="Open Sans" w:cs="Open Sans"/>
        </w:rPr>
        <w:t>can get in touch with our direct services and can request a referral to the NWTA project if appropriate.</w:t>
      </w:r>
      <w:r w:rsidR="00A233AD" w:rsidRPr="00493AC6">
        <w:rPr>
          <w:rFonts w:ascii="Open Sans" w:hAnsi="Open Sans" w:cs="Open Sans"/>
        </w:rPr>
        <w:t xml:space="preserve"> </w:t>
      </w:r>
    </w:p>
    <w:p w14:paraId="3B1BCB0D" w14:textId="77777777" w:rsidR="00B415C3" w:rsidRPr="00493AC6" w:rsidRDefault="00B415C3" w:rsidP="007E72F1">
      <w:pPr>
        <w:rPr>
          <w:lang w:val="en-US"/>
        </w:rPr>
      </w:pPr>
    </w:p>
    <w:p w14:paraId="344990CF" w14:textId="77777777" w:rsidR="006C1F22" w:rsidRPr="00493AC6" w:rsidRDefault="006C1F22" w:rsidP="007E72F1">
      <w:pPr>
        <w:pStyle w:val="Heading2"/>
      </w:pPr>
      <w:bookmarkStart w:id="19" w:name="_Toc104535748"/>
      <w:r w:rsidRPr="00493AC6">
        <w:t>Referral sources</w:t>
      </w:r>
      <w:bookmarkEnd w:id="19"/>
    </w:p>
    <w:p w14:paraId="05451BEF" w14:textId="773CB291" w:rsidR="0019239D" w:rsidRPr="00493AC6" w:rsidRDefault="00624B74" w:rsidP="007E72F1">
      <w:pPr>
        <w:rPr>
          <w:rFonts w:ascii="Open Sans" w:hAnsi="Open Sans" w:cs="Open Sans"/>
        </w:rPr>
      </w:pPr>
      <w:r w:rsidRPr="00493AC6">
        <w:rPr>
          <w:rFonts w:ascii="Open Sans" w:hAnsi="Open Sans" w:cs="Open Sans"/>
        </w:rPr>
        <w:t xml:space="preserve">The NWTA project continues to play a vital role in providing specialist knowledge and care alongside local Women's Aid member </w:t>
      </w:r>
      <w:r w:rsidRPr="00493AC6">
        <w:rPr>
          <w:rFonts w:ascii="Open Sans" w:hAnsi="Open Sans" w:cs="Open Sans"/>
        </w:rPr>
        <w:lastRenderedPageBreak/>
        <w:t>organisations, who made 56.7% (191) of referrals to NWTA during the period.</w:t>
      </w:r>
      <w:r w:rsidR="005717E3" w:rsidRPr="00493AC6">
        <w:rPr>
          <w:rFonts w:ascii="Open Sans" w:hAnsi="Open Sans" w:cs="Open Sans"/>
        </w:rPr>
        <w:t xml:space="preserve"> </w:t>
      </w:r>
      <w:r w:rsidR="14C05866" w:rsidRPr="00493AC6">
        <w:rPr>
          <w:rFonts w:ascii="Open Sans" w:hAnsi="Open Sans" w:cs="Open Sans"/>
        </w:rPr>
        <w:t>129 referrals (38.3%) came from direct services</w:t>
      </w:r>
      <w:r w:rsidR="00903FD0" w:rsidRPr="00493AC6">
        <w:rPr>
          <w:rFonts w:ascii="Open Sans" w:hAnsi="Open Sans" w:cs="Open Sans"/>
        </w:rPr>
        <w:t xml:space="preserve"> run by Women’s Aid’s national office</w:t>
      </w:r>
      <w:r w:rsidR="14C05866" w:rsidRPr="00493AC6">
        <w:rPr>
          <w:rFonts w:ascii="Open Sans" w:hAnsi="Open Sans" w:cs="Open Sans"/>
        </w:rPr>
        <w:t xml:space="preserve">, with 127 </w:t>
      </w:r>
      <w:r w:rsidR="00903FD0" w:rsidRPr="00493AC6">
        <w:rPr>
          <w:rFonts w:ascii="Open Sans" w:hAnsi="Open Sans" w:cs="Open Sans"/>
        </w:rPr>
        <w:t xml:space="preserve">of these </w:t>
      </w:r>
      <w:r w:rsidR="14C05866" w:rsidRPr="00493AC6">
        <w:rPr>
          <w:rFonts w:ascii="Open Sans" w:hAnsi="Open Sans" w:cs="Open Sans"/>
        </w:rPr>
        <w:t>from the Women’s Aid Live Chat service</w:t>
      </w:r>
      <w:r w:rsidR="00903FD0" w:rsidRPr="00493AC6">
        <w:rPr>
          <w:rFonts w:ascii="Open Sans" w:hAnsi="Open Sans" w:cs="Open Sans"/>
        </w:rPr>
        <w:t xml:space="preserve"> and</w:t>
      </w:r>
      <w:r w:rsidR="14C05866" w:rsidRPr="00493AC6">
        <w:rPr>
          <w:rFonts w:ascii="Open Sans" w:hAnsi="Open Sans" w:cs="Open Sans"/>
        </w:rPr>
        <w:t xml:space="preserve"> one from Women’s Aid email service</w:t>
      </w:r>
      <w:r w:rsidR="00903FD0" w:rsidRPr="00493AC6">
        <w:rPr>
          <w:rFonts w:ascii="Open Sans" w:hAnsi="Open Sans" w:cs="Open Sans"/>
        </w:rPr>
        <w:t>. One referral came</w:t>
      </w:r>
      <w:r w:rsidR="14C05866" w:rsidRPr="00493AC6">
        <w:rPr>
          <w:rFonts w:ascii="Open Sans" w:hAnsi="Open Sans" w:cs="Open Sans"/>
        </w:rPr>
        <w:t xml:space="preserve"> directly through one of the NWTA practitioners; where a survivor </w:t>
      </w:r>
      <w:r w:rsidR="50A81B4E" w:rsidRPr="00493AC6">
        <w:rPr>
          <w:rFonts w:ascii="Open Sans" w:hAnsi="Open Sans" w:cs="Open Sans"/>
        </w:rPr>
        <w:t xml:space="preserve">who had previously received support </w:t>
      </w:r>
      <w:r w:rsidR="14C05866" w:rsidRPr="00493AC6">
        <w:rPr>
          <w:rFonts w:ascii="Open Sans" w:hAnsi="Open Sans" w:cs="Open Sans"/>
        </w:rPr>
        <w:t>got back in touch with the practitioner after s</w:t>
      </w:r>
      <w:r w:rsidR="007F29D8" w:rsidRPr="00493AC6">
        <w:rPr>
          <w:rFonts w:ascii="Open Sans" w:hAnsi="Open Sans" w:cs="Open Sans"/>
        </w:rPr>
        <w:t xml:space="preserve">he </w:t>
      </w:r>
      <w:r w:rsidR="14C05866" w:rsidRPr="00493AC6">
        <w:rPr>
          <w:rFonts w:ascii="Open Sans" w:hAnsi="Open Sans" w:cs="Open Sans"/>
        </w:rPr>
        <w:t xml:space="preserve">no longer </w:t>
      </w:r>
      <w:r w:rsidR="007F29D8" w:rsidRPr="00493AC6">
        <w:rPr>
          <w:rFonts w:ascii="Open Sans" w:hAnsi="Open Sans" w:cs="Open Sans"/>
        </w:rPr>
        <w:t xml:space="preserve">felt </w:t>
      </w:r>
      <w:r w:rsidR="14C05866" w:rsidRPr="00493AC6">
        <w:rPr>
          <w:rFonts w:ascii="Open Sans" w:hAnsi="Open Sans" w:cs="Open Sans"/>
        </w:rPr>
        <w:t>safe</w:t>
      </w:r>
      <w:r w:rsidR="007F29D8" w:rsidRPr="00493AC6">
        <w:rPr>
          <w:rFonts w:ascii="Open Sans" w:hAnsi="Open Sans" w:cs="Open Sans"/>
        </w:rPr>
        <w:t xml:space="preserve"> to </w:t>
      </w:r>
      <w:r w:rsidR="14C05866" w:rsidRPr="00493AC6">
        <w:rPr>
          <w:rFonts w:ascii="Open Sans" w:hAnsi="Open Sans" w:cs="Open Sans"/>
        </w:rPr>
        <w:t>remain in the refuge she had been accommodated in</w:t>
      </w:r>
      <w:r w:rsidR="00EE75AB" w:rsidRPr="00493AC6">
        <w:rPr>
          <w:rFonts w:ascii="Open Sans" w:hAnsi="Open Sans" w:cs="Open Sans"/>
        </w:rPr>
        <w:t xml:space="preserve">. </w:t>
      </w:r>
      <w:r w:rsidR="00646FF6" w:rsidRPr="00493AC6">
        <w:rPr>
          <w:rFonts w:ascii="Open Sans" w:hAnsi="Open Sans" w:cs="Open Sans"/>
        </w:rPr>
        <w:t xml:space="preserve">In this instance the refuge was not run by a Women’s Aid member so we were not able to address concerns directly and the NWTA team provided support to the survivor only. </w:t>
      </w:r>
      <w:r w:rsidR="71664408" w:rsidRPr="00493AC6">
        <w:rPr>
          <w:rFonts w:ascii="Open Sans" w:hAnsi="Open Sans" w:cs="Open Sans"/>
        </w:rPr>
        <w:t xml:space="preserve">The remaining </w:t>
      </w:r>
      <w:r w:rsidR="1A6D723F" w:rsidRPr="00493AC6">
        <w:rPr>
          <w:rFonts w:ascii="Open Sans" w:hAnsi="Open Sans" w:cs="Open Sans"/>
        </w:rPr>
        <w:t xml:space="preserve">17 </w:t>
      </w:r>
      <w:r w:rsidR="71664408" w:rsidRPr="00493AC6">
        <w:rPr>
          <w:rFonts w:ascii="Open Sans" w:hAnsi="Open Sans" w:cs="Open Sans"/>
        </w:rPr>
        <w:t xml:space="preserve">referrals came from other </w:t>
      </w:r>
      <w:r w:rsidR="1A6D723F" w:rsidRPr="00493AC6">
        <w:rPr>
          <w:rFonts w:ascii="Open Sans" w:hAnsi="Open Sans" w:cs="Open Sans"/>
        </w:rPr>
        <w:t>sources, including our partner organisation, Victi</w:t>
      </w:r>
      <w:r w:rsidR="00C76F04" w:rsidRPr="00493AC6">
        <w:rPr>
          <w:rFonts w:ascii="Open Sans" w:hAnsi="Open Sans" w:cs="Open Sans"/>
        </w:rPr>
        <w:t>m Support (2; 0.6%), as well as</w:t>
      </w:r>
      <w:r w:rsidR="1A6D723F" w:rsidRPr="00493AC6">
        <w:rPr>
          <w:rFonts w:ascii="Open Sans" w:hAnsi="Open Sans" w:cs="Open Sans"/>
        </w:rPr>
        <w:t xml:space="preserve"> </w:t>
      </w:r>
      <w:r w:rsidR="00285472" w:rsidRPr="00493AC6">
        <w:rPr>
          <w:rFonts w:ascii="Open Sans" w:hAnsi="Open Sans" w:cs="Open Sans"/>
        </w:rPr>
        <w:t xml:space="preserve">referrals from services who are not our agreed partner agencies; </w:t>
      </w:r>
      <w:r w:rsidR="1A6D723F" w:rsidRPr="00493AC6">
        <w:rPr>
          <w:rFonts w:ascii="Open Sans" w:hAnsi="Open Sans" w:cs="Open Sans"/>
        </w:rPr>
        <w:t>Police (2; 0.6%), and Social Services (</w:t>
      </w:r>
      <w:r w:rsidR="25CB982E" w:rsidRPr="00493AC6">
        <w:rPr>
          <w:rFonts w:ascii="Open Sans" w:hAnsi="Open Sans" w:cs="Open Sans"/>
        </w:rPr>
        <w:t>3; 0.9%</w:t>
      </w:r>
      <w:r w:rsidR="1A6D723F" w:rsidRPr="00493AC6">
        <w:rPr>
          <w:rFonts w:ascii="Open Sans" w:hAnsi="Open Sans" w:cs="Open Sans"/>
        </w:rPr>
        <w:t>).</w:t>
      </w:r>
      <w:bookmarkStart w:id="20" w:name="_Toc511312865"/>
      <w:bookmarkStart w:id="21" w:name="_Toc34262487"/>
      <w:bookmarkStart w:id="22" w:name="_Toc65875190"/>
    </w:p>
    <w:p w14:paraId="71E61410" w14:textId="6306FEB9" w:rsidR="00F109DD" w:rsidRPr="00493AC6" w:rsidRDefault="0019239D" w:rsidP="007E72F1">
      <w:pPr>
        <w:pStyle w:val="Heading1"/>
      </w:pPr>
      <w:r w:rsidRPr="00493AC6">
        <w:br w:type="page"/>
      </w:r>
      <w:bookmarkStart w:id="23" w:name="_Toc104535749"/>
      <w:r w:rsidR="004E348C" w:rsidRPr="00493AC6">
        <w:rPr>
          <w:b/>
          <w:bCs/>
        </w:rPr>
        <w:lastRenderedPageBreak/>
        <w:t>Part 2 -</w:t>
      </w:r>
      <w:r w:rsidR="000862D6" w:rsidRPr="00493AC6">
        <w:t xml:space="preserve"> Who did we support and what were survivors’ experiences during their search for a refuge?</w:t>
      </w:r>
      <w:bookmarkEnd w:id="23"/>
    </w:p>
    <w:p w14:paraId="1E66FAFE" w14:textId="77777777" w:rsidR="004E348C" w:rsidRPr="00493AC6" w:rsidRDefault="004E348C" w:rsidP="007E72F1"/>
    <w:p w14:paraId="229CA2AD" w14:textId="77777777" w:rsidR="004B761F" w:rsidRPr="00493AC6" w:rsidRDefault="005A17BB" w:rsidP="007E72F1">
      <w:pPr>
        <w:pStyle w:val="Heading2"/>
      </w:pPr>
      <w:bookmarkStart w:id="24" w:name="_Toc104535750"/>
      <w:r w:rsidRPr="00493AC6">
        <w:t>How many women did we support?</w:t>
      </w:r>
      <w:bookmarkEnd w:id="20"/>
      <w:bookmarkEnd w:id="21"/>
      <w:bookmarkEnd w:id="22"/>
      <w:bookmarkEnd w:id="24"/>
    </w:p>
    <w:p w14:paraId="4626E3D0" w14:textId="77777777" w:rsidR="00E1018F" w:rsidRPr="00493AC6" w:rsidRDefault="21FA0AD3" w:rsidP="007E72F1">
      <w:pPr>
        <w:rPr>
          <w:rFonts w:ascii="Open Sans" w:hAnsi="Open Sans" w:cs="Open Sans"/>
        </w:rPr>
      </w:pPr>
      <w:r w:rsidRPr="00493AC6">
        <w:rPr>
          <w:rFonts w:ascii="Open Sans" w:hAnsi="Open Sans" w:cs="Open Sans"/>
          <w:lang w:val="en-US"/>
        </w:rPr>
        <w:t>In all, 184</w:t>
      </w:r>
      <w:r w:rsidR="00785398" w:rsidRPr="00493AC6">
        <w:rPr>
          <w:rFonts w:ascii="Open Sans" w:hAnsi="Open Sans" w:cs="Open Sans"/>
          <w:lang w:val="en-US"/>
        </w:rPr>
        <w:t xml:space="preserve"> women began and finished their support between the 1</w:t>
      </w:r>
      <w:r w:rsidR="00785398" w:rsidRPr="00493AC6">
        <w:rPr>
          <w:rFonts w:ascii="Open Sans" w:hAnsi="Open Sans" w:cs="Open Sans"/>
          <w:vertAlign w:val="superscript"/>
          <w:lang w:val="en-US"/>
        </w:rPr>
        <w:t>st</w:t>
      </w:r>
      <w:r w:rsidR="00785398" w:rsidRPr="00493AC6">
        <w:rPr>
          <w:rFonts w:ascii="Open Sans" w:hAnsi="Open Sans" w:cs="Open Sans"/>
          <w:lang w:val="en-US"/>
        </w:rPr>
        <w:t xml:space="preserve"> January 2021 and the 31</w:t>
      </w:r>
      <w:r w:rsidR="00785398" w:rsidRPr="00493AC6">
        <w:rPr>
          <w:rFonts w:ascii="Open Sans" w:hAnsi="Open Sans" w:cs="Open Sans"/>
          <w:vertAlign w:val="superscript"/>
          <w:lang w:val="en-US"/>
        </w:rPr>
        <w:t>st</w:t>
      </w:r>
      <w:r w:rsidR="00785398" w:rsidRPr="00493AC6">
        <w:rPr>
          <w:rFonts w:ascii="Open Sans" w:hAnsi="Open Sans" w:cs="Open Sans"/>
          <w:lang w:val="en-US"/>
        </w:rPr>
        <w:t xml:space="preserve"> December 2021, </w:t>
      </w:r>
      <w:r w:rsidR="715E0B04" w:rsidRPr="00493AC6">
        <w:rPr>
          <w:rFonts w:ascii="Open Sans" w:hAnsi="Open Sans" w:cs="Open Sans"/>
          <w:lang w:val="en-US"/>
        </w:rPr>
        <w:t>with eight</w:t>
      </w:r>
      <w:r w:rsidR="16116CFC" w:rsidRPr="00493AC6">
        <w:rPr>
          <w:rFonts w:ascii="Open Sans" w:hAnsi="Open Sans" w:cs="Open Sans"/>
          <w:lang w:val="en-US"/>
        </w:rPr>
        <w:t xml:space="preserve"> of these women </w:t>
      </w:r>
      <w:r w:rsidR="006E04D4" w:rsidRPr="00493AC6">
        <w:rPr>
          <w:rFonts w:ascii="Open Sans" w:hAnsi="Open Sans" w:cs="Open Sans"/>
          <w:lang w:val="en-US"/>
        </w:rPr>
        <w:t>being supported</w:t>
      </w:r>
      <w:r w:rsidR="16116CFC" w:rsidRPr="00493AC6">
        <w:rPr>
          <w:rFonts w:ascii="Open Sans" w:hAnsi="Open Sans" w:cs="Open Sans"/>
          <w:lang w:val="en-US"/>
        </w:rPr>
        <w:t xml:space="preserve"> twice, and one wom</w:t>
      </w:r>
      <w:r w:rsidRPr="00493AC6">
        <w:rPr>
          <w:rFonts w:ascii="Open Sans" w:hAnsi="Open Sans" w:cs="Open Sans"/>
          <w:lang w:val="en-US"/>
        </w:rPr>
        <w:t xml:space="preserve">an </w:t>
      </w:r>
      <w:r w:rsidR="006E04D4" w:rsidRPr="00493AC6">
        <w:rPr>
          <w:rFonts w:ascii="Open Sans" w:hAnsi="Open Sans" w:cs="Open Sans"/>
          <w:lang w:val="en-US"/>
        </w:rPr>
        <w:t>on</w:t>
      </w:r>
      <w:r w:rsidRPr="00493AC6">
        <w:rPr>
          <w:rFonts w:ascii="Open Sans" w:hAnsi="Open Sans" w:cs="Open Sans"/>
          <w:lang w:val="en-US"/>
        </w:rPr>
        <w:t xml:space="preserve"> three </w:t>
      </w:r>
      <w:r w:rsidR="006E04D4" w:rsidRPr="00493AC6">
        <w:rPr>
          <w:rFonts w:ascii="Open Sans" w:hAnsi="Open Sans" w:cs="Open Sans"/>
          <w:lang w:val="en-US"/>
        </w:rPr>
        <w:t>occasions</w:t>
      </w:r>
      <w:r w:rsidR="715E0B04" w:rsidRPr="00493AC6">
        <w:rPr>
          <w:rFonts w:ascii="Open Sans" w:hAnsi="Open Sans" w:cs="Open Sans"/>
          <w:lang w:val="en-US"/>
        </w:rPr>
        <w:t xml:space="preserve"> (i.e. 194</w:t>
      </w:r>
      <w:r w:rsidR="16116CFC" w:rsidRPr="00493AC6">
        <w:rPr>
          <w:rFonts w:ascii="Open Sans" w:hAnsi="Open Sans" w:cs="Open Sans"/>
          <w:lang w:val="en-US"/>
        </w:rPr>
        <w:t xml:space="preserve"> exits </w:t>
      </w:r>
      <w:r w:rsidR="00E46055" w:rsidRPr="00493AC6">
        <w:rPr>
          <w:rFonts w:ascii="Open Sans" w:hAnsi="Open Sans" w:cs="Open Sans"/>
          <w:lang w:val="en-US"/>
        </w:rPr>
        <w:t xml:space="preserve">from the project </w:t>
      </w:r>
      <w:r w:rsidR="16116CFC" w:rsidRPr="00493AC6">
        <w:rPr>
          <w:rFonts w:ascii="Open Sans" w:hAnsi="Open Sans" w:cs="Open Sans"/>
          <w:lang w:val="en-US"/>
        </w:rPr>
        <w:t xml:space="preserve">overall). The analysis of </w:t>
      </w:r>
      <w:r w:rsidR="7F5A50F1" w:rsidRPr="00493AC6">
        <w:rPr>
          <w:rFonts w:ascii="Open Sans" w:hAnsi="Open Sans" w:cs="Open Sans"/>
        </w:rPr>
        <w:t xml:space="preserve">quantitative data </w:t>
      </w:r>
      <w:r w:rsidR="006E04D4" w:rsidRPr="00493AC6">
        <w:rPr>
          <w:rFonts w:ascii="Open Sans" w:hAnsi="Open Sans" w:cs="Open Sans"/>
        </w:rPr>
        <w:t>f</w:t>
      </w:r>
      <w:r w:rsidR="00542EDB" w:rsidRPr="00493AC6">
        <w:rPr>
          <w:rFonts w:ascii="Open Sans" w:hAnsi="Open Sans" w:cs="Open Sans"/>
        </w:rPr>
        <w:t xml:space="preserve">or the rest of this report </w:t>
      </w:r>
      <w:r w:rsidR="7F5A50F1" w:rsidRPr="00493AC6">
        <w:rPr>
          <w:rFonts w:ascii="Open Sans" w:hAnsi="Open Sans" w:cs="Open Sans"/>
        </w:rPr>
        <w:t>relates to these 1</w:t>
      </w:r>
      <w:r w:rsidRPr="00493AC6">
        <w:rPr>
          <w:rFonts w:ascii="Open Sans" w:hAnsi="Open Sans" w:cs="Open Sans"/>
        </w:rPr>
        <w:t>84</w:t>
      </w:r>
      <w:r w:rsidR="62A0CCA6" w:rsidRPr="00493AC6">
        <w:rPr>
          <w:rFonts w:ascii="Open Sans" w:hAnsi="Open Sans" w:cs="Open Sans"/>
        </w:rPr>
        <w:t xml:space="preserve"> women.</w:t>
      </w:r>
    </w:p>
    <w:p w14:paraId="62655499" w14:textId="446C7EC5" w:rsidR="0051531B" w:rsidRPr="00493AC6" w:rsidRDefault="00AC6D49" w:rsidP="007E72F1">
      <w:pPr>
        <w:rPr>
          <w:rFonts w:ascii="Open Sans" w:hAnsi="Open Sans" w:cs="Open Sans"/>
        </w:rPr>
      </w:pPr>
      <w:r w:rsidRPr="00493AC6">
        <w:rPr>
          <w:rFonts w:ascii="Open Sans" w:hAnsi="Open Sans" w:cs="Open Sans"/>
          <w:lang w:val="en-US"/>
        </w:rPr>
        <w:t>T</w:t>
      </w:r>
      <w:r w:rsidR="786CE3E6" w:rsidRPr="00493AC6">
        <w:rPr>
          <w:rFonts w:ascii="Open Sans" w:hAnsi="Open Sans" w:cs="Open Sans"/>
          <w:lang w:val="en-US"/>
        </w:rPr>
        <w:t>his is a slight incr</w:t>
      </w:r>
      <w:r w:rsidR="29554B36" w:rsidRPr="00493AC6">
        <w:rPr>
          <w:rFonts w:ascii="Open Sans" w:hAnsi="Open Sans" w:cs="Open Sans"/>
          <w:lang w:val="en-US"/>
        </w:rPr>
        <w:t xml:space="preserve">ease </w:t>
      </w:r>
      <w:r w:rsidR="21FA0AD3" w:rsidRPr="00493AC6">
        <w:rPr>
          <w:rFonts w:ascii="Open Sans" w:hAnsi="Open Sans" w:cs="Open Sans"/>
          <w:lang w:val="en-US"/>
        </w:rPr>
        <w:t xml:space="preserve">in the number of women being supported </w:t>
      </w:r>
      <w:r w:rsidR="29554B36" w:rsidRPr="00493AC6">
        <w:rPr>
          <w:rFonts w:ascii="Open Sans" w:hAnsi="Open Sans" w:cs="Open Sans"/>
          <w:lang w:val="en-US"/>
        </w:rPr>
        <w:t>compared t</w:t>
      </w:r>
      <w:r w:rsidRPr="00493AC6">
        <w:rPr>
          <w:rFonts w:ascii="Open Sans" w:hAnsi="Open Sans" w:cs="Open Sans"/>
          <w:lang w:val="en-US"/>
        </w:rPr>
        <w:t>o last year.</w:t>
      </w:r>
      <w:r w:rsidR="006C1F22" w:rsidRPr="00493AC6">
        <w:rPr>
          <w:rStyle w:val="FootnoteReference"/>
          <w:rFonts w:ascii="Open Sans" w:hAnsi="Open Sans" w:cs="Open Sans"/>
          <w:lang w:val="en-US"/>
        </w:rPr>
        <w:footnoteReference w:id="9"/>
      </w:r>
      <w:r w:rsidR="00651205" w:rsidRPr="00493AC6">
        <w:rPr>
          <w:rFonts w:ascii="Open Sans" w:hAnsi="Open Sans" w:cs="Open Sans"/>
        </w:rPr>
        <w:t xml:space="preserve"> To make sure we reach as many survivors who need support from the project as possible, we have recently implemented a number of changes.</w:t>
      </w:r>
      <w:r w:rsidR="00204B24" w:rsidRPr="00493AC6">
        <w:rPr>
          <w:rFonts w:ascii="Open Sans" w:hAnsi="Open Sans" w:cs="Open Sans"/>
        </w:rPr>
        <w:t xml:space="preserve"> </w:t>
      </w:r>
      <w:r w:rsidR="00E46055" w:rsidRPr="00493AC6">
        <w:rPr>
          <w:rFonts w:ascii="Open Sans" w:hAnsi="Open Sans" w:cs="Open Sans"/>
        </w:rPr>
        <w:t>We have produced a</w:t>
      </w:r>
      <w:r w:rsidR="00791156" w:rsidRPr="00493AC6">
        <w:rPr>
          <w:rFonts w:ascii="Open Sans" w:hAnsi="Open Sans" w:cs="Open Sans"/>
        </w:rPr>
        <w:t xml:space="preserve"> simpler </w:t>
      </w:r>
      <w:r w:rsidR="00E46055" w:rsidRPr="00493AC6">
        <w:rPr>
          <w:rFonts w:ascii="Open Sans" w:hAnsi="Open Sans" w:cs="Open Sans"/>
        </w:rPr>
        <w:t xml:space="preserve">and </w:t>
      </w:r>
      <w:r w:rsidR="00791156" w:rsidRPr="00493AC6">
        <w:rPr>
          <w:rFonts w:ascii="Open Sans" w:hAnsi="Open Sans" w:cs="Open Sans"/>
        </w:rPr>
        <w:t xml:space="preserve">more accessible referral form, </w:t>
      </w:r>
      <w:r w:rsidR="00825EF0" w:rsidRPr="00493AC6">
        <w:rPr>
          <w:rFonts w:ascii="Open Sans" w:hAnsi="Open Sans" w:cs="Open Sans"/>
        </w:rPr>
        <w:t>updated the main project webp</w:t>
      </w:r>
      <w:r w:rsidR="00151D61" w:rsidRPr="00493AC6">
        <w:rPr>
          <w:rFonts w:ascii="Open Sans" w:hAnsi="Open Sans" w:cs="Open Sans"/>
        </w:rPr>
        <w:t>age to provide more information on who NWTA support and what the referral pathway looks like, consulted Women’s Aid Media and Communications team on how they can support us, and many more</w:t>
      </w:r>
      <w:r w:rsidR="00E46055" w:rsidRPr="00493AC6">
        <w:rPr>
          <w:rFonts w:ascii="Open Sans" w:hAnsi="Open Sans" w:cs="Open Sans"/>
        </w:rPr>
        <w:t xml:space="preserve"> changes</w:t>
      </w:r>
      <w:r w:rsidR="00151D61" w:rsidRPr="00493AC6">
        <w:rPr>
          <w:rFonts w:ascii="Open Sans" w:hAnsi="Open Sans" w:cs="Open Sans"/>
        </w:rPr>
        <w:t>.</w:t>
      </w:r>
    </w:p>
    <w:p w14:paraId="1148318D" w14:textId="77777777" w:rsidR="004E348C" w:rsidRPr="00493AC6" w:rsidRDefault="004E348C" w:rsidP="007E72F1">
      <w:pPr>
        <w:rPr>
          <w:rFonts w:ascii="Open Sans" w:hAnsi="Open Sans" w:cs="Open Sans"/>
        </w:rPr>
      </w:pPr>
    </w:p>
    <w:p w14:paraId="34E04C2B" w14:textId="77777777" w:rsidR="009875CB" w:rsidRPr="00493AC6" w:rsidRDefault="0051531B" w:rsidP="007E72F1">
      <w:pPr>
        <w:pStyle w:val="Heading2"/>
      </w:pPr>
      <w:bookmarkStart w:id="25" w:name="_Toc104535751"/>
      <w:r w:rsidRPr="00493AC6">
        <w:lastRenderedPageBreak/>
        <w:t>What were women’s experiences of abuse?</w:t>
      </w:r>
      <w:bookmarkEnd w:id="25"/>
    </w:p>
    <w:p w14:paraId="1BD6DD7F" w14:textId="77777777" w:rsidR="003223B2" w:rsidRPr="00493AC6" w:rsidRDefault="59FA2335" w:rsidP="007E72F1">
      <w:pPr>
        <w:rPr>
          <w:rFonts w:ascii="Open Sans" w:hAnsi="Open Sans" w:cs="Open Sans"/>
        </w:rPr>
      </w:pPr>
      <w:r w:rsidRPr="00493AC6">
        <w:rPr>
          <w:rFonts w:ascii="Open Sans" w:hAnsi="Open Sans" w:cs="Open Sans"/>
        </w:rPr>
        <w:t xml:space="preserve">The majority of women supported by the NWTA project experienced multiple forms of abuse from their perpetrator/ perpetrators. </w:t>
      </w:r>
      <w:r w:rsidR="3D536CEE" w:rsidRPr="00493AC6">
        <w:rPr>
          <w:rFonts w:ascii="Open Sans" w:hAnsi="Open Sans" w:cs="Open Sans"/>
        </w:rPr>
        <w:t>At least 91.4% of perpetrators were male.</w:t>
      </w:r>
      <w:r w:rsidR="00437113" w:rsidRPr="00493AC6">
        <w:rPr>
          <w:rStyle w:val="FootnoteReference"/>
          <w:rFonts w:ascii="Open Sans" w:hAnsi="Open Sans" w:cs="Open Sans"/>
        </w:rPr>
        <w:footnoteReference w:id="10"/>
      </w:r>
      <w:r w:rsidR="3D536CEE" w:rsidRPr="00493AC6">
        <w:rPr>
          <w:rFonts w:ascii="Open Sans" w:hAnsi="Open Sans" w:cs="Open Sans"/>
        </w:rPr>
        <w:t xml:space="preserve"> </w:t>
      </w:r>
    </w:p>
    <w:p w14:paraId="0EE76311" w14:textId="77777777" w:rsidR="003223B2" w:rsidRPr="00493AC6" w:rsidRDefault="59FA2335" w:rsidP="007E72F1">
      <w:pPr>
        <w:rPr>
          <w:rFonts w:ascii="Open Sans" w:hAnsi="Open Sans" w:cs="Open Sans"/>
        </w:rPr>
      </w:pPr>
      <w:r w:rsidRPr="00493AC6">
        <w:rPr>
          <w:rFonts w:ascii="Open Sans" w:hAnsi="Open Sans" w:cs="Open Sans"/>
        </w:rPr>
        <w:t>Based on the women who had been subjecte</w:t>
      </w:r>
      <w:r w:rsidR="003223B2" w:rsidRPr="00493AC6">
        <w:rPr>
          <w:rFonts w:ascii="Open Sans" w:hAnsi="Open Sans" w:cs="Open Sans"/>
        </w:rPr>
        <w:t>d to domestic abuse within the past year</w:t>
      </w:r>
      <w:r w:rsidR="0082564A" w:rsidRPr="00493AC6">
        <w:rPr>
          <w:rStyle w:val="FootnoteReference"/>
          <w:rFonts w:ascii="Open Sans" w:hAnsi="Open Sans" w:cs="Open Sans"/>
        </w:rPr>
        <w:footnoteReference w:id="11"/>
      </w:r>
      <w:r w:rsidR="003223B2" w:rsidRPr="00493AC6">
        <w:rPr>
          <w:rFonts w:ascii="Open Sans" w:hAnsi="Open Sans" w:cs="Open Sans"/>
        </w:rPr>
        <w:t>:</w:t>
      </w:r>
    </w:p>
    <w:p w14:paraId="1A17DBF6" w14:textId="77777777" w:rsidR="003223B2" w:rsidRPr="00493AC6" w:rsidRDefault="6DC4B44B" w:rsidP="007E72F1">
      <w:pPr>
        <w:pStyle w:val="ListParagraph"/>
        <w:numPr>
          <w:ilvl w:val="0"/>
          <w:numId w:val="7"/>
        </w:numPr>
        <w:rPr>
          <w:rFonts w:ascii="Open Sans" w:hAnsi="Open Sans" w:cs="Open Sans"/>
        </w:rPr>
      </w:pPr>
      <w:r w:rsidRPr="00493AC6">
        <w:rPr>
          <w:rFonts w:ascii="Open Sans" w:hAnsi="Open Sans" w:cs="Open Sans"/>
        </w:rPr>
        <w:t>77.7% had experienced emotional abuse</w:t>
      </w:r>
      <w:r w:rsidR="003223B2" w:rsidRPr="00493AC6">
        <w:rPr>
          <w:rFonts w:ascii="Open Sans" w:hAnsi="Open Sans" w:cs="Open Sans"/>
        </w:rPr>
        <w:t>.</w:t>
      </w:r>
    </w:p>
    <w:p w14:paraId="205E22B1" w14:textId="77777777" w:rsidR="003223B2" w:rsidRPr="00493AC6" w:rsidRDefault="2FE9E01A" w:rsidP="007E72F1">
      <w:pPr>
        <w:pStyle w:val="ListParagraph"/>
        <w:numPr>
          <w:ilvl w:val="0"/>
          <w:numId w:val="7"/>
        </w:numPr>
        <w:rPr>
          <w:rFonts w:ascii="Open Sans" w:hAnsi="Open Sans" w:cs="Open Sans"/>
        </w:rPr>
      </w:pPr>
      <w:r w:rsidRPr="00493AC6">
        <w:rPr>
          <w:rFonts w:ascii="Open Sans" w:hAnsi="Open Sans" w:cs="Open Sans"/>
        </w:rPr>
        <w:t>72.6</w:t>
      </w:r>
      <w:r w:rsidR="6DC4B44B" w:rsidRPr="00493AC6">
        <w:rPr>
          <w:rFonts w:ascii="Open Sans" w:hAnsi="Open Sans" w:cs="Open Sans"/>
        </w:rPr>
        <w:t xml:space="preserve">% </w:t>
      </w:r>
      <w:r w:rsidR="00230E02" w:rsidRPr="00493AC6">
        <w:rPr>
          <w:rFonts w:ascii="Open Sans" w:hAnsi="Open Sans" w:cs="Open Sans"/>
        </w:rPr>
        <w:t xml:space="preserve">had </w:t>
      </w:r>
      <w:r w:rsidR="6DC4B44B" w:rsidRPr="00493AC6">
        <w:rPr>
          <w:rFonts w:ascii="Open Sans" w:hAnsi="Open Sans" w:cs="Open Sans"/>
        </w:rPr>
        <w:t>experien</w:t>
      </w:r>
      <w:r w:rsidR="003223B2" w:rsidRPr="00493AC6">
        <w:rPr>
          <w:rFonts w:ascii="Open Sans" w:hAnsi="Open Sans" w:cs="Open Sans"/>
        </w:rPr>
        <w:t xml:space="preserve">ced controlling behaviours. </w:t>
      </w:r>
    </w:p>
    <w:p w14:paraId="5665AE3A" w14:textId="77777777" w:rsidR="003223B2" w:rsidRPr="00493AC6" w:rsidRDefault="2FE9E01A" w:rsidP="007E72F1">
      <w:pPr>
        <w:pStyle w:val="ListParagraph"/>
        <w:numPr>
          <w:ilvl w:val="0"/>
          <w:numId w:val="7"/>
        </w:numPr>
        <w:rPr>
          <w:rFonts w:ascii="Open Sans" w:hAnsi="Open Sans" w:cs="Open Sans"/>
        </w:rPr>
      </w:pPr>
      <w:r w:rsidRPr="00493AC6">
        <w:rPr>
          <w:rFonts w:ascii="Open Sans" w:hAnsi="Open Sans" w:cs="Open Sans"/>
        </w:rPr>
        <w:t>59.2%</w:t>
      </w:r>
      <w:r w:rsidR="6DC4B44B" w:rsidRPr="00493AC6">
        <w:rPr>
          <w:rFonts w:ascii="Open Sans" w:hAnsi="Open Sans" w:cs="Open Sans"/>
        </w:rPr>
        <w:t xml:space="preserve"> had </w:t>
      </w:r>
      <w:r w:rsidR="003223B2" w:rsidRPr="00493AC6">
        <w:rPr>
          <w:rFonts w:ascii="Open Sans" w:hAnsi="Open Sans" w:cs="Open Sans"/>
        </w:rPr>
        <w:t>experienced physical abuse</w:t>
      </w:r>
    </w:p>
    <w:p w14:paraId="15D9BD51" w14:textId="77777777" w:rsidR="003223B2" w:rsidRPr="00493AC6" w:rsidRDefault="003223B2" w:rsidP="007E72F1">
      <w:pPr>
        <w:pStyle w:val="ListParagraph"/>
        <w:numPr>
          <w:ilvl w:val="0"/>
          <w:numId w:val="7"/>
        </w:numPr>
        <w:rPr>
          <w:rFonts w:ascii="Open Sans" w:hAnsi="Open Sans" w:cs="Open Sans"/>
        </w:rPr>
      </w:pPr>
      <w:r w:rsidRPr="00493AC6">
        <w:rPr>
          <w:rFonts w:ascii="Open Sans" w:hAnsi="Open Sans" w:cs="Open Sans"/>
        </w:rPr>
        <w:t>46.</w:t>
      </w:r>
      <w:r w:rsidR="2FE9E01A" w:rsidRPr="00493AC6">
        <w:rPr>
          <w:rFonts w:ascii="Open Sans" w:hAnsi="Open Sans" w:cs="Open Sans"/>
        </w:rPr>
        <w:t>4</w:t>
      </w:r>
      <w:r w:rsidR="6DC4B44B" w:rsidRPr="00493AC6">
        <w:rPr>
          <w:rFonts w:ascii="Open Sans" w:hAnsi="Open Sans" w:cs="Open Sans"/>
        </w:rPr>
        <w:t>% had experienced</w:t>
      </w:r>
      <w:r w:rsidR="2FE9E01A" w:rsidRPr="00493AC6">
        <w:rPr>
          <w:rFonts w:ascii="Open Sans" w:hAnsi="Open Sans" w:cs="Open Sans"/>
        </w:rPr>
        <w:t xml:space="preserve"> econom</w:t>
      </w:r>
      <w:r w:rsidRPr="00493AC6">
        <w:rPr>
          <w:rFonts w:ascii="Open Sans" w:hAnsi="Open Sans" w:cs="Open Sans"/>
        </w:rPr>
        <w:t>ic/ financial abuse</w:t>
      </w:r>
    </w:p>
    <w:p w14:paraId="5D408286" w14:textId="77777777" w:rsidR="003223B2" w:rsidRPr="00493AC6" w:rsidRDefault="2FE9E01A" w:rsidP="007E72F1">
      <w:pPr>
        <w:pStyle w:val="ListParagraph"/>
        <w:numPr>
          <w:ilvl w:val="0"/>
          <w:numId w:val="7"/>
        </w:numPr>
        <w:rPr>
          <w:rFonts w:ascii="Open Sans" w:hAnsi="Open Sans" w:cs="Open Sans"/>
        </w:rPr>
      </w:pPr>
      <w:r w:rsidRPr="00493AC6">
        <w:rPr>
          <w:rFonts w:ascii="Open Sans" w:hAnsi="Open Sans" w:cs="Open Sans"/>
        </w:rPr>
        <w:t>31</w:t>
      </w:r>
      <w:r w:rsidR="6DC4B44B" w:rsidRPr="00493AC6">
        <w:rPr>
          <w:rFonts w:ascii="Open Sans" w:hAnsi="Open Sans" w:cs="Open Sans"/>
        </w:rPr>
        <w:t xml:space="preserve">.8% had experienced surveillance, </w:t>
      </w:r>
      <w:r w:rsidR="003223B2" w:rsidRPr="00493AC6">
        <w:rPr>
          <w:rFonts w:ascii="Open Sans" w:hAnsi="Open Sans" w:cs="Open Sans"/>
        </w:rPr>
        <w:t>harassment or stalking</w:t>
      </w:r>
    </w:p>
    <w:p w14:paraId="0EDC2E11" w14:textId="171AC1D1" w:rsidR="003223B2" w:rsidRDefault="2FE9E01A" w:rsidP="007E72F1">
      <w:pPr>
        <w:pStyle w:val="ListParagraph"/>
        <w:numPr>
          <w:ilvl w:val="0"/>
          <w:numId w:val="7"/>
        </w:numPr>
        <w:rPr>
          <w:rFonts w:ascii="Open Sans" w:hAnsi="Open Sans" w:cs="Open Sans"/>
        </w:rPr>
      </w:pPr>
      <w:r w:rsidRPr="00493AC6">
        <w:rPr>
          <w:rFonts w:ascii="Open Sans" w:hAnsi="Open Sans" w:cs="Open Sans"/>
        </w:rPr>
        <w:t>21.2</w:t>
      </w:r>
      <w:r w:rsidR="6DC4B44B" w:rsidRPr="00493AC6">
        <w:rPr>
          <w:rFonts w:ascii="Open Sans" w:hAnsi="Open Sans" w:cs="Open Sans"/>
        </w:rPr>
        <w:t>% were recorded to have experienced sexual abuse.</w:t>
      </w:r>
      <w:r w:rsidR="64EB6A5E" w:rsidRPr="00493AC6">
        <w:rPr>
          <w:rFonts w:ascii="Open Sans" w:hAnsi="Open Sans" w:cs="Open Sans"/>
        </w:rPr>
        <w:t xml:space="preserve"> </w:t>
      </w:r>
    </w:p>
    <w:p w14:paraId="788A2505" w14:textId="77777777" w:rsidR="006E053F" w:rsidRPr="006E053F" w:rsidRDefault="006E053F" w:rsidP="006E053F">
      <w:pPr>
        <w:rPr>
          <w:rFonts w:ascii="Open Sans" w:hAnsi="Open Sans" w:cs="Open Sans"/>
        </w:rPr>
      </w:pPr>
    </w:p>
    <w:p w14:paraId="2FDFFE6B" w14:textId="77777777" w:rsidR="00AD1093" w:rsidRPr="00493AC6" w:rsidRDefault="00AD1093" w:rsidP="007E72F1">
      <w:pPr>
        <w:rPr>
          <w:rFonts w:ascii="Open Sans" w:hAnsi="Open Sans" w:cs="Open Sans"/>
        </w:rPr>
      </w:pPr>
      <w:r w:rsidRPr="00493AC6">
        <w:rPr>
          <w:rFonts w:ascii="Open Sans" w:hAnsi="Open Sans" w:cs="Open Sans"/>
        </w:rPr>
        <w:t>As part of this domestic abuse many women also reported experiencing the following:</w:t>
      </w:r>
    </w:p>
    <w:p w14:paraId="3F302A36" w14:textId="77777777" w:rsidR="00AD1093" w:rsidRPr="00493AC6" w:rsidRDefault="00824867" w:rsidP="007E72F1">
      <w:pPr>
        <w:pStyle w:val="ListParagraph"/>
        <w:numPr>
          <w:ilvl w:val="0"/>
          <w:numId w:val="8"/>
        </w:numPr>
        <w:rPr>
          <w:rFonts w:ascii="Open Sans" w:hAnsi="Open Sans" w:cs="Open Sans"/>
        </w:rPr>
      </w:pPr>
      <w:r w:rsidRPr="00493AC6">
        <w:rPr>
          <w:rFonts w:ascii="Open Sans" w:hAnsi="Open Sans" w:cs="Open Sans"/>
        </w:rPr>
        <w:t>36.3% had</w:t>
      </w:r>
      <w:r w:rsidR="64EB6A5E" w:rsidRPr="00493AC6">
        <w:rPr>
          <w:rFonts w:ascii="Open Sans" w:hAnsi="Open Sans" w:cs="Open Sans"/>
        </w:rPr>
        <w:t xml:space="preserve"> experienced threat</w:t>
      </w:r>
      <w:r w:rsidR="00AD1093" w:rsidRPr="00493AC6">
        <w:rPr>
          <w:rFonts w:ascii="Open Sans" w:hAnsi="Open Sans" w:cs="Open Sans"/>
        </w:rPr>
        <w:t>s to be killed</w:t>
      </w:r>
    </w:p>
    <w:p w14:paraId="35D01D34" w14:textId="2B4D29AA" w:rsidR="00AD1093" w:rsidRDefault="64EB6A5E" w:rsidP="007E72F1">
      <w:pPr>
        <w:pStyle w:val="ListParagraph"/>
        <w:numPr>
          <w:ilvl w:val="0"/>
          <w:numId w:val="8"/>
        </w:numPr>
        <w:rPr>
          <w:rFonts w:ascii="Open Sans" w:hAnsi="Open Sans" w:cs="Open Sans"/>
        </w:rPr>
      </w:pPr>
      <w:r w:rsidRPr="00493AC6">
        <w:rPr>
          <w:rFonts w:ascii="Open Sans" w:hAnsi="Open Sans" w:cs="Open Sans"/>
        </w:rPr>
        <w:t xml:space="preserve">12.8% had experienced an attempted strangulation </w:t>
      </w:r>
      <w:r w:rsidR="00AD1093" w:rsidRPr="00493AC6">
        <w:rPr>
          <w:rFonts w:ascii="Open Sans" w:hAnsi="Open Sans" w:cs="Open Sans"/>
        </w:rPr>
        <w:t>or suffocation</w:t>
      </w:r>
    </w:p>
    <w:p w14:paraId="4A441C80" w14:textId="77777777" w:rsidR="006E053F" w:rsidRPr="006E053F" w:rsidRDefault="006E053F" w:rsidP="006E053F">
      <w:pPr>
        <w:rPr>
          <w:rFonts w:ascii="Open Sans" w:hAnsi="Open Sans" w:cs="Open Sans"/>
        </w:rPr>
      </w:pPr>
    </w:p>
    <w:p w14:paraId="0BFD2797" w14:textId="77777777" w:rsidR="00AD1093" w:rsidRPr="00493AC6" w:rsidRDefault="0097674C" w:rsidP="007E72F1">
      <w:pPr>
        <w:rPr>
          <w:rFonts w:ascii="Open Sans" w:hAnsi="Open Sans" w:cs="Open Sans"/>
        </w:rPr>
      </w:pPr>
      <w:r w:rsidRPr="00493AC6">
        <w:rPr>
          <w:rFonts w:ascii="Open Sans" w:hAnsi="Open Sans" w:cs="Open Sans"/>
        </w:rPr>
        <w:lastRenderedPageBreak/>
        <w:t>The i</w:t>
      </w:r>
      <w:r w:rsidR="00FA2FC4" w:rsidRPr="00493AC6">
        <w:rPr>
          <w:rFonts w:ascii="Open Sans" w:hAnsi="Open Sans" w:cs="Open Sans"/>
        </w:rPr>
        <w:t>mpact of these experiences on women can be stark. Based on these women we also found:</w:t>
      </w:r>
    </w:p>
    <w:p w14:paraId="09E47B37" w14:textId="77777777" w:rsidR="00AD1093" w:rsidRPr="00493AC6" w:rsidRDefault="00AD1093" w:rsidP="007E72F1">
      <w:pPr>
        <w:pStyle w:val="ListParagraph"/>
        <w:numPr>
          <w:ilvl w:val="0"/>
          <w:numId w:val="8"/>
        </w:numPr>
        <w:rPr>
          <w:rFonts w:ascii="Open Sans" w:hAnsi="Open Sans" w:cs="Open Sans"/>
        </w:rPr>
      </w:pPr>
      <w:r w:rsidRPr="00493AC6">
        <w:rPr>
          <w:rFonts w:ascii="Open Sans" w:hAnsi="Open Sans" w:cs="Open Sans"/>
        </w:rPr>
        <w:t>J</w:t>
      </w:r>
      <w:r w:rsidR="68F4D5D6" w:rsidRPr="00493AC6">
        <w:rPr>
          <w:rFonts w:ascii="Open Sans" w:hAnsi="Open Sans" w:cs="Open Sans"/>
        </w:rPr>
        <w:t>ust under 10</w:t>
      </w:r>
      <w:r w:rsidR="16E8A220" w:rsidRPr="00493AC6">
        <w:rPr>
          <w:rFonts w:ascii="Open Sans" w:hAnsi="Open Sans" w:cs="Open Sans"/>
        </w:rPr>
        <w:t>%</w:t>
      </w:r>
      <w:r w:rsidR="007A3C0A" w:rsidRPr="00493AC6">
        <w:rPr>
          <w:rFonts w:ascii="Open Sans" w:hAnsi="Open Sans" w:cs="Open Sans"/>
        </w:rPr>
        <w:t xml:space="preserve"> </w:t>
      </w:r>
      <w:r w:rsidR="68F4D5D6" w:rsidRPr="00493AC6">
        <w:rPr>
          <w:rFonts w:ascii="Open Sans" w:hAnsi="Open Sans" w:cs="Open Sans"/>
        </w:rPr>
        <w:t>(9.2%) reported having acquired an injury from the perpetrator which required either a visit to the GP or A&amp;E, or hospitalisation.</w:t>
      </w:r>
    </w:p>
    <w:p w14:paraId="1D5798AB" w14:textId="4E2903F9" w:rsidR="0051784D" w:rsidRDefault="68F4D5D6" w:rsidP="007E72F1">
      <w:pPr>
        <w:pStyle w:val="ListParagraph"/>
        <w:numPr>
          <w:ilvl w:val="0"/>
          <w:numId w:val="8"/>
        </w:numPr>
        <w:rPr>
          <w:rFonts w:ascii="Open Sans" w:hAnsi="Open Sans" w:cs="Open Sans"/>
        </w:rPr>
      </w:pPr>
      <w:r w:rsidRPr="00493AC6">
        <w:rPr>
          <w:rFonts w:ascii="Open Sans" w:hAnsi="Open Sans" w:cs="Open Sans"/>
        </w:rPr>
        <w:t>11.2% of survivors reported having experienced suicidal thoughts or depression as a result of the abuse.</w:t>
      </w:r>
    </w:p>
    <w:p w14:paraId="168A5947" w14:textId="77777777" w:rsidR="006E053F" w:rsidRPr="006E053F" w:rsidRDefault="006E053F" w:rsidP="006E053F">
      <w:pPr>
        <w:rPr>
          <w:rFonts w:ascii="Open Sans" w:hAnsi="Open Sans" w:cs="Open Sans"/>
        </w:rPr>
      </w:pPr>
    </w:p>
    <w:p w14:paraId="44C7E51C" w14:textId="60DA5387" w:rsidR="00B22108" w:rsidRPr="00493AC6" w:rsidRDefault="005F5E01" w:rsidP="007E72F1">
      <w:pPr>
        <w:rPr>
          <w:rFonts w:ascii="Open Sans" w:eastAsia="Times New Roman" w:hAnsi="Open Sans" w:cs="Open Sans"/>
          <w:color w:val="B6006C"/>
          <w:sz w:val="26"/>
          <w:szCs w:val="26"/>
        </w:rPr>
      </w:pPr>
      <w:r w:rsidRPr="00493AC6">
        <w:rPr>
          <w:rFonts w:ascii="Open Sans" w:hAnsi="Open Sans" w:cs="Open Sans"/>
        </w:rPr>
        <w:t xml:space="preserve">We know </w:t>
      </w:r>
      <w:r w:rsidR="00752F70" w:rsidRPr="00493AC6">
        <w:rPr>
          <w:rFonts w:ascii="Open Sans" w:hAnsi="Open Sans" w:cs="Open Sans"/>
        </w:rPr>
        <w:t xml:space="preserve">that it is not uncommon for survivors to experience feeling depressed or </w:t>
      </w:r>
      <w:r w:rsidR="00142D90" w:rsidRPr="00493AC6">
        <w:rPr>
          <w:rFonts w:ascii="Open Sans" w:hAnsi="Open Sans" w:cs="Open Sans"/>
        </w:rPr>
        <w:t xml:space="preserve">having </w:t>
      </w:r>
      <w:r w:rsidR="00752F70" w:rsidRPr="00493AC6">
        <w:rPr>
          <w:rFonts w:ascii="Open Sans" w:hAnsi="Open Sans" w:cs="Open Sans"/>
        </w:rPr>
        <w:t>suicidal thoughts as a resul</w:t>
      </w:r>
      <w:r w:rsidR="00142D90" w:rsidRPr="00493AC6">
        <w:rPr>
          <w:rFonts w:ascii="Open Sans" w:hAnsi="Open Sans" w:cs="Open Sans"/>
        </w:rPr>
        <w:t>t of domestic abuse</w:t>
      </w:r>
      <w:r w:rsidR="00B45414" w:rsidRPr="00493AC6">
        <w:rPr>
          <w:rFonts w:ascii="Open Sans" w:hAnsi="Open Sans" w:cs="Open Sans"/>
        </w:rPr>
        <w:t>. T</w:t>
      </w:r>
      <w:r w:rsidR="00FA2FC4" w:rsidRPr="00493AC6">
        <w:rPr>
          <w:rFonts w:ascii="Open Sans" w:hAnsi="Open Sans" w:cs="Open Sans"/>
        </w:rPr>
        <w:t>his was</w:t>
      </w:r>
      <w:r w:rsidR="00142D90" w:rsidRPr="00493AC6">
        <w:rPr>
          <w:rFonts w:ascii="Open Sans" w:hAnsi="Open Sans" w:cs="Open Sans"/>
        </w:rPr>
        <w:t xml:space="preserve"> </w:t>
      </w:r>
      <w:r w:rsidR="00B45414" w:rsidRPr="00493AC6">
        <w:rPr>
          <w:rFonts w:ascii="Open Sans" w:hAnsi="Open Sans" w:cs="Open Sans"/>
        </w:rPr>
        <w:t xml:space="preserve">indeed </w:t>
      </w:r>
      <w:r w:rsidR="00142D90" w:rsidRPr="00493AC6">
        <w:rPr>
          <w:rFonts w:ascii="Open Sans" w:hAnsi="Open Sans" w:cs="Open Sans"/>
        </w:rPr>
        <w:t xml:space="preserve">the case for 35.1% of survivors </w:t>
      </w:r>
      <w:r w:rsidR="00FA2FC4" w:rsidRPr="00493AC6">
        <w:rPr>
          <w:rFonts w:ascii="Open Sans" w:hAnsi="Open Sans" w:cs="Open Sans"/>
        </w:rPr>
        <w:t>in this year’s Annual Audit</w:t>
      </w:r>
      <w:r w:rsidR="00142D90" w:rsidRPr="00493AC6">
        <w:rPr>
          <w:rFonts w:ascii="Open Sans" w:hAnsi="Open Sans" w:cs="Open Sans"/>
        </w:rPr>
        <w:t xml:space="preserve"> (Women’s Aid, 2022</w:t>
      </w:r>
      <w:r w:rsidR="00755FE3" w:rsidRPr="00493AC6">
        <w:rPr>
          <w:rFonts w:ascii="Open Sans" w:hAnsi="Open Sans" w:cs="Open Sans"/>
        </w:rPr>
        <w:t>a</w:t>
      </w:r>
      <w:r w:rsidR="00142D90" w:rsidRPr="00493AC6">
        <w:rPr>
          <w:rFonts w:ascii="Open Sans" w:hAnsi="Open Sans" w:cs="Open Sans"/>
        </w:rPr>
        <w:t>).</w:t>
      </w:r>
      <w:r w:rsidR="0030481A" w:rsidRPr="00493AC6">
        <w:rPr>
          <w:rFonts w:ascii="Open Sans" w:hAnsi="Open Sans" w:cs="Open Sans"/>
        </w:rPr>
        <w:t xml:space="preserve"> Last year we carried out a literature review on </w:t>
      </w:r>
      <w:r w:rsidR="00887B9C" w:rsidRPr="00493AC6">
        <w:rPr>
          <w:rFonts w:ascii="Open Sans" w:hAnsi="Open Sans" w:cs="Open Sans"/>
        </w:rPr>
        <w:t>m</w:t>
      </w:r>
      <w:r w:rsidR="0030481A" w:rsidRPr="00493AC6">
        <w:rPr>
          <w:rFonts w:ascii="Open Sans" w:hAnsi="Open Sans" w:cs="Open Sans"/>
        </w:rPr>
        <w:t xml:space="preserve">ental </w:t>
      </w:r>
      <w:r w:rsidR="00887B9C" w:rsidRPr="00493AC6">
        <w:rPr>
          <w:rFonts w:ascii="Open Sans" w:hAnsi="Open Sans" w:cs="Open Sans"/>
        </w:rPr>
        <w:t>h</w:t>
      </w:r>
      <w:r w:rsidR="0030481A" w:rsidRPr="00493AC6">
        <w:rPr>
          <w:rFonts w:ascii="Open Sans" w:hAnsi="Open Sans" w:cs="Open Sans"/>
        </w:rPr>
        <w:t xml:space="preserve">ealth and </w:t>
      </w:r>
      <w:r w:rsidR="00887B9C" w:rsidRPr="00493AC6">
        <w:rPr>
          <w:rFonts w:ascii="Open Sans" w:hAnsi="Open Sans" w:cs="Open Sans"/>
        </w:rPr>
        <w:t>d</w:t>
      </w:r>
      <w:r w:rsidR="0030481A" w:rsidRPr="00493AC6">
        <w:rPr>
          <w:rFonts w:ascii="Open Sans" w:hAnsi="Open Sans" w:cs="Open Sans"/>
        </w:rPr>
        <w:t xml:space="preserve">omestic </w:t>
      </w:r>
      <w:r w:rsidR="00887B9C" w:rsidRPr="00493AC6">
        <w:rPr>
          <w:rFonts w:ascii="Open Sans" w:hAnsi="Open Sans" w:cs="Open Sans"/>
        </w:rPr>
        <w:t>a</w:t>
      </w:r>
      <w:r w:rsidR="0030481A" w:rsidRPr="00493AC6">
        <w:rPr>
          <w:rFonts w:ascii="Open Sans" w:hAnsi="Open Sans" w:cs="Open Sans"/>
        </w:rPr>
        <w:t>buse</w:t>
      </w:r>
      <w:r w:rsidR="00E83D1C" w:rsidRPr="00493AC6">
        <w:rPr>
          <w:rFonts w:ascii="Open Sans" w:hAnsi="Open Sans" w:cs="Open Sans"/>
        </w:rPr>
        <w:t>, uncovering</w:t>
      </w:r>
      <w:r w:rsidR="00095DAD" w:rsidRPr="00493AC6">
        <w:rPr>
          <w:rFonts w:ascii="Open Sans" w:hAnsi="Open Sans" w:cs="Open Sans"/>
        </w:rPr>
        <w:t xml:space="preserve"> a clear body of evidence demonstrating the link between domestic abuse and </w:t>
      </w:r>
      <w:r w:rsidR="00E35623" w:rsidRPr="00493AC6">
        <w:rPr>
          <w:rFonts w:ascii="Open Sans" w:hAnsi="Open Sans" w:cs="Open Sans"/>
        </w:rPr>
        <w:t xml:space="preserve">mental health </w:t>
      </w:r>
      <w:r w:rsidR="0030481A" w:rsidRPr="00493AC6">
        <w:rPr>
          <w:rFonts w:ascii="Open Sans" w:hAnsi="Open Sans" w:cs="Open Sans"/>
        </w:rPr>
        <w:t>(Women’s Aid, 2021</w:t>
      </w:r>
      <w:r w:rsidR="007D6CB1" w:rsidRPr="00493AC6">
        <w:rPr>
          <w:rFonts w:ascii="Open Sans" w:hAnsi="Open Sans" w:cs="Open Sans"/>
        </w:rPr>
        <w:t>b</w:t>
      </w:r>
      <w:r w:rsidR="00FE35C5" w:rsidRPr="00493AC6">
        <w:rPr>
          <w:rFonts w:ascii="Open Sans" w:hAnsi="Open Sans" w:cs="Open Sans"/>
        </w:rPr>
        <w:t>; Thiara and Harrison, 2021</w:t>
      </w:r>
      <w:r w:rsidR="0030481A" w:rsidRPr="00493AC6">
        <w:rPr>
          <w:rFonts w:ascii="Open Sans" w:hAnsi="Open Sans" w:cs="Open Sans"/>
        </w:rPr>
        <w:t>)</w:t>
      </w:r>
      <w:r w:rsidR="00095DAD" w:rsidRPr="00493AC6">
        <w:rPr>
          <w:rFonts w:ascii="Open Sans" w:hAnsi="Open Sans" w:cs="Open Sans"/>
        </w:rPr>
        <w:t>.</w:t>
      </w:r>
      <w:r w:rsidR="000F7BA8" w:rsidRPr="00493AC6">
        <w:rPr>
          <w:rFonts w:ascii="Open Sans" w:hAnsi="Open Sans" w:cs="Open Sans"/>
        </w:rPr>
        <w:t xml:space="preserve"> </w:t>
      </w:r>
      <w:r w:rsidR="00A24EAA" w:rsidRPr="00493AC6">
        <w:rPr>
          <w:rFonts w:ascii="Open Sans" w:hAnsi="Open Sans" w:cs="Open Sans"/>
        </w:rPr>
        <w:t>Domestic abuse can</w:t>
      </w:r>
      <w:r w:rsidR="00E35623" w:rsidRPr="00493AC6">
        <w:rPr>
          <w:rFonts w:ascii="Open Sans" w:hAnsi="Open Sans" w:cs="Open Sans"/>
        </w:rPr>
        <w:t xml:space="preserve"> have</w:t>
      </w:r>
      <w:r w:rsidR="001F06E6" w:rsidRPr="00493AC6">
        <w:rPr>
          <w:rFonts w:ascii="Open Sans" w:hAnsi="Open Sans" w:cs="Open Sans"/>
        </w:rPr>
        <w:t xml:space="preserve"> a</w:t>
      </w:r>
      <w:r w:rsidR="00E35623" w:rsidRPr="00493AC6">
        <w:rPr>
          <w:rFonts w:ascii="Open Sans" w:hAnsi="Open Sans" w:cs="Open Sans"/>
        </w:rPr>
        <w:t xml:space="preserve"> long-lasting</w:t>
      </w:r>
      <w:r w:rsidR="00704EA6" w:rsidRPr="00493AC6">
        <w:rPr>
          <w:rFonts w:ascii="Open Sans" w:hAnsi="Open Sans" w:cs="Open Sans"/>
        </w:rPr>
        <w:t xml:space="preserve"> negative</w:t>
      </w:r>
      <w:r w:rsidR="00E35623" w:rsidRPr="00493AC6">
        <w:rPr>
          <w:rFonts w:ascii="Open Sans" w:hAnsi="Open Sans" w:cs="Open Sans"/>
        </w:rPr>
        <w:t xml:space="preserve"> impact on the mental well-being of survivors </w:t>
      </w:r>
      <w:r w:rsidR="00704EA6" w:rsidRPr="00493AC6">
        <w:rPr>
          <w:rFonts w:ascii="Open Sans" w:hAnsi="Open Sans" w:cs="Open Sans"/>
        </w:rPr>
        <w:t>(including</w:t>
      </w:r>
      <w:r w:rsidR="00E35623" w:rsidRPr="00493AC6">
        <w:rPr>
          <w:rFonts w:ascii="Open Sans" w:hAnsi="Open Sans" w:cs="Open Sans"/>
        </w:rPr>
        <w:t xml:space="preserve"> children</w:t>
      </w:r>
      <w:r w:rsidR="00704EA6" w:rsidRPr="00493AC6">
        <w:rPr>
          <w:rFonts w:ascii="Open Sans" w:hAnsi="Open Sans" w:cs="Open Sans"/>
        </w:rPr>
        <w:t>)</w:t>
      </w:r>
      <w:r w:rsidR="007F16B3" w:rsidRPr="00493AC6">
        <w:rPr>
          <w:rFonts w:ascii="Open Sans" w:hAnsi="Open Sans" w:cs="Open Sans"/>
        </w:rPr>
        <w:t xml:space="preserve">, therefore it is vital </w:t>
      </w:r>
      <w:r w:rsidR="009D65E9" w:rsidRPr="00493AC6">
        <w:rPr>
          <w:rFonts w:ascii="Open Sans" w:hAnsi="Open Sans" w:cs="Open Sans"/>
        </w:rPr>
        <w:t xml:space="preserve">that </w:t>
      </w:r>
      <w:r w:rsidR="00537B5D" w:rsidRPr="00493AC6">
        <w:rPr>
          <w:rFonts w:ascii="Open Sans" w:hAnsi="Open Sans" w:cs="Open Sans"/>
        </w:rPr>
        <w:t xml:space="preserve">service </w:t>
      </w:r>
      <w:r w:rsidR="009D65E9" w:rsidRPr="00493AC6">
        <w:rPr>
          <w:rFonts w:ascii="Open Sans" w:hAnsi="Open Sans" w:cs="Open Sans"/>
        </w:rPr>
        <w:t xml:space="preserve">provision </w:t>
      </w:r>
      <w:r w:rsidR="00537B5D" w:rsidRPr="00493AC6">
        <w:rPr>
          <w:rFonts w:ascii="Open Sans" w:hAnsi="Open Sans" w:cs="Open Sans"/>
        </w:rPr>
        <w:t>is able to meet these</w:t>
      </w:r>
      <w:r w:rsidR="009D65E9" w:rsidRPr="00493AC6">
        <w:rPr>
          <w:rFonts w:ascii="Open Sans" w:hAnsi="Open Sans" w:cs="Open Sans"/>
        </w:rPr>
        <w:t xml:space="preserve"> needs.</w:t>
      </w:r>
      <w:r w:rsidR="004837CC" w:rsidRPr="00493AC6">
        <w:rPr>
          <w:rFonts w:ascii="Open Sans" w:hAnsi="Open Sans" w:cs="Open Sans"/>
        </w:rPr>
        <w:t xml:space="preserve"> Unfortunately, as we know through research of the NWTA project,</w:t>
      </w:r>
      <w:r w:rsidR="00537B5D" w:rsidRPr="00493AC6">
        <w:rPr>
          <w:rFonts w:ascii="Open Sans" w:hAnsi="Open Sans" w:cs="Open Sans"/>
        </w:rPr>
        <w:t xml:space="preserve"> </w:t>
      </w:r>
      <w:r w:rsidR="00704EA6" w:rsidRPr="00493AC6">
        <w:rPr>
          <w:rFonts w:ascii="Open Sans" w:hAnsi="Open Sans" w:cs="Open Sans"/>
        </w:rPr>
        <w:t xml:space="preserve">services that are not being resourced to meet </w:t>
      </w:r>
      <w:r w:rsidR="00537B5D" w:rsidRPr="00493AC6">
        <w:rPr>
          <w:rFonts w:ascii="Open Sans" w:hAnsi="Open Sans" w:cs="Open Sans"/>
        </w:rPr>
        <w:t xml:space="preserve">support needs around mental health </w:t>
      </w:r>
      <w:r w:rsidR="004837CC" w:rsidRPr="00493AC6">
        <w:rPr>
          <w:rFonts w:ascii="Open Sans" w:hAnsi="Open Sans" w:cs="Open Sans"/>
        </w:rPr>
        <w:t xml:space="preserve">more often act as a barrier for survivors seeking safe accommodation, rather than it </w:t>
      </w:r>
      <w:r w:rsidR="001F06E6" w:rsidRPr="00493AC6">
        <w:rPr>
          <w:rFonts w:ascii="Open Sans" w:hAnsi="Open Sans" w:cs="Open Sans"/>
        </w:rPr>
        <w:t xml:space="preserve">being </w:t>
      </w:r>
      <w:r w:rsidR="007016E0" w:rsidRPr="00493AC6">
        <w:rPr>
          <w:rFonts w:ascii="Open Sans" w:hAnsi="Open Sans" w:cs="Open Sans"/>
        </w:rPr>
        <w:t xml:space="preserve">properly </w:t>
      </w:r>
      <w:r w:rsidR="001F06E6" w:rsidRPr="00493AC6">
        <w:rPr>
          <w:rFonts w:ascii="Open Sans" w:hAnsi="Open Sans" w:cs="Open Sans"/>
        </w:rPr>
        <w:t xml:space="preserve">understood as one of the </w:t>
      </w:r>
      <w:r w:rsidR="009B04E4" w:rsidRPr="00493AC6">
        <w:rPr>
          <w:rFonts w:ascii="Open Sans" w:hAnsi="Open Sans" w:cs="Open Sans"/>
        </w:rPr>
        <w:t xml:space="preserve">devastating impacts of domestic abuse that it </w:t>
      </w:r>
      <w:r w:rsidR="00B77069" w:rsidRPr="00493AC6">
        <w:rPr>
          <w:rFonts w:ascii="Open Sans" w:hAnsi="Open Sans" w:cs="Open Sans"/>
        </w:rPr>
        <w:t>so often is</w:t>
      </w:r>
      <w:r w:rsidR="009B04E4" w:rsidRPr="00493AC6">
        <w:rPr>
          <w:rFonts w:ascii="Open Sans" w:hAnsi="Open Sans" w:cs="Open Sans"/>
        </w:rPr>
        <w:t>.</w:t>
      </w:r>
      <w:bookmarkStart w:id="26" w:name="_Toc65875193"/>
      <w:r w:rsidR="00D56C41" w:rsidRPr="00493AC6">
        <w:rPr>
          <w:rFonts w:ascii="Open Sans" w:eastAsia="Times New Roman" w:hAnsi="Open Sans" w:cs="Open Sans"/>
          <w:color w:val="B6006C"/>
        </w:rPr>
        <w:br w:type="page"/>
      </w:r>
      <w:bookmarkEnd w:id="26"/>
    </w:p>
    <w:p w14:paraId="43AD30CC" w14:textId="77777777" w:rsidR="009802B4" w:rsidRPr="00D651DC" w:rsidRDefault="00D075E3" w:rsidP="00D651DC">
      <w:pPr>
        <w:pStyle w:val="Heading2"/>
      </w:pPr>
      <w:bookmarkStart w:id="27" w:name="_Toc104535752"/>
      <w:r w:rsidRPr="00D651DC">
        <w:lastRenderedPageBreak/>
        <w:t>Lucy</w:t>
      </w:r>
      <w:r w:rsidR="00967A18" w:rsidRPr="00D651DC">
        <w:t>’s</w:t>
      </w:r>
      <w:r w:rsidR="00967A18" w:rsidRPr="00D651DC">
        <w:rPr>
          <w:rStyle w:val="FootnoteReference"/>
        </w:rPr>
        <w:footnoteReference w:id="12"/>
      </w:r>
      <w:r w:rsidR="00987DC6" w:rsidRPr="00D651DC">
        <w:t xml:space="preserve"> story</w:t>
      </w:r>
      <w:bookmarkEnd w:id="27"/>
    </w:p>
    <w:p w14:paraId="3C4C3F0D" w14:textId="77777777" w:rsidR="009B1DFB" w:rsidRPr="00493AC6" w:rsidRDefault="00D075E3" w:rsidP="007E72F1">
      <w:pPr>
        <w:rPr>
          <w:rFonts w:ascii="Open Sans" w:hAnsi="Open Sans" w:cs="Open Sans"/>
        </w:rPr>
      </w:pPr>
      <w:r w:rsidRPr="00493AC6">
        <w:rPr>
          <w:rFonts w:ascii="Open Sans" w:hAnsi="Open Sans" w:cs="Open Sans"/>
        </w:rPr>
        <w:t>Lucy</w:t>
      </w:r>
      <w:r w:rsidR="46DBDAAC" w:rsidRPr="00493AC6">
        <w:rPr>
          <w:rFonts w:ascii="Open Sans" w:hAnsi="Open Sans" w:cs="Open Sans"/>
        </w:rPr>
        <w:t xml:space="preserve"> contacted the Women’s Aid Live Chat service after being </w:t>
      </w:r>
      <w:r w:rsidR="2395D14D" w:rsidRPr="00493AC6">
        <w:rPr>
          <w:rFonts w:ascii="Open Sans" w:hAnsi="Open Sans" w:cs="Open Sans"/>
        </w:rPr>
        <w:t>refused a refuge space</w:t>
      </w:r>
      <w:r w:rsidR="001D55ED" w:rsidRPr="00493AC6">
        <w:rPr>
          <w:rFonts w:ascii="Open Sans" w:hAnsi="Open Sans" w:cs="Open Sans"/>
        </w:rPr>
        <w:t xml:space="preserve"> </w:t>
      </w:r>
      <w:r w:rsidR="2395D14D" w:rsidRPr="00493AC6">
        <w:rPr>
          <w:rFonts w:ascii="Open Sans" w:hAnsi="Open Sans" w:cs="Open Sans"/>
        </w:rPr>
        <w:t xml:space="preserve">by a service </w:t>
      </w:r>
      <w:r w:rsidR="001D55ED" w:rsidRPr="00493AC6">
        <w:rPr>
          <w:rFonts w:ascii="Open Sans" w:hAnsi="Open Sans" w:cs="Open Sans"/>
        </w:rPr>
        <w:t xml:space="preserve">who could not support her </w:t>
      </w:r>
      <w:r w:rsidRPr="00493AC6">
        <w:rPr>
          <w:rFonts w:ascii="Open Sans" w:hAnsi="Open Sans" w:cs="Open Sans"/>
        </w:rPr>
        <w:t>multiple disabilities</w:t>
      </w:r>
      <w:r w:rsidR="001D55ED" w:rsidRPr="00493AC6">
        <w:rPr>
          <w:rFonts w:ascii="Open Sans" w:hAnsi="Open Sans" w:cs="Open Sans"/>
        </w:rPr>
        <w:t xml:space="preserve">. </w:t>
      </w:r>
      <w:r w:rsidR="2395D14D" w:rsidRPr="00493AC6">
        <w:rPr>
          <w:rFonts w:ascii="Open Sans" w:hAnsi="Open Sans" w:cs="Open Sans"/>
        </w:rPr>
        <w:t>This included mental health</w:t>
      </w:r>
      <w:r w:rsidR="6FF2E60B" w:rsidRPr="00493AC6">
        <w:rPr>
          <w:rFonts w:ascii="Open Sans" w:hAnsi="Open Sans" w:cs="Open Sans"/>
        </w:rPr>
        <w:t xml:space="preserve"> support needs</w:t>
      </w:r>
      <w:r w:rsidR="2395D14D" w:rsidRPr="00493AC6">
        <w:rPr>
          <w:rFonts w:ascii="Open Sans" w:hAnsi="Open Sans" w:cs="Open Sans"/>
        </w:rPr>
        <w:t xml:space="preserve"> and a long-term health condition</w:t>
      </w:r>
      <w:r w:rsidR="6FF2E60B" w:rsidRPr="00493AC6">
        <w:rPr>
          <w:rFonts w:ascii="Open Sans" w:hAnsi="Open Sans" w:cs="Open Sans"/>
        </w:rPr>
        <w:t xml:space="preserve">. </w:t>
      </w:r>
      <w:r w:rsidRPr="00493AC6">
        <w:rPr>
          <w:rFonts w:ascii="Open Sans" w:hAnsi="Open Sans" w:cs="Open Sans"/>
        </w:rPr>
        <w:t>Lucy</w:t>
      </w:r>
      <w:r w:rsidR="001D55ED" w:rsidRPr="00493AC6">
        <w:rPr>
          <w:rFonts w:ascii="Open Sans" w:hAnsi="Open Sans" w:cs="Open Sans"/>
        </w:rPr>
        <w:t xml:space="preserve"> had </w:t>
      </w:r>
      <w:r w:rsidR="2395D14D" w:rsidRPr="00493AC6">
        <w:rPr>
          <w:rFonts w:ascii="Open Sans" w:hAnsi="Open Sans" w:cs="Open Sans"/>
        </w:rPr>
        <w:t xml:space="preserve">also </w:t>
      </w:r>
      <w:r w:rsidR="542360A7" w:rsidRPr="00493AC6">
        <w:rPr>
          <w:rFonts w:ascii="Open Sans" w:hAnsi="Open Sans" w:cs="Open Sans"/>
        </w:rPr>
        <w:t xml:space="preserve">been offered </w:t>
      </w:r>
      <w:r w:rsidR="002562FE" w:rsidRPr="00493AC6">
        <w:rPr>
          <w:rFonts w:ascii="Open Sans" w:hAnsi="Open Sans" w:cs="Open Sans"/>
        </w:rPr>
        <w:t>accommodation</w:t>
      </w:r>
      <w:r w:rsidR="542360A7" w:rsidRPr="00493AC6">
        <w:rPr>
          <w:rFonts w:ascii="Open Sans" w:hAnsi="Open Sans" w:cs="Open Sans"/>
        </w:rPr>
        <w:t xml:space="preserve"> by a</w:t>
      </w:r>
      <w:r w:rsidR="001D55ED" w:rsidRPr="00493AC6">
        <w:rPr>
          <w:rFonts w:ascii="Open Sans" w:hAnsi="Open Sans" w:cs="Open Sans"/>
        </w:rPr>
        <w:t xml:space="preserve"> local authority, however, accepting this would have meant </w:t>
      </w:r>
      <w:r w:rsidR="2395D14D" w:rsidRPr="00493AC6">
        <w:rPr>
          <w:rFonts w:ascii="Open Sans" w:hAnsi="Open Sans" w:cs="Open Sans"/>
        </w:rPr>
        <w:t xml:space="preserve">being too far away from </w:t>
      </w:r>
      <w:r w:rsidR="0A439197" w:rsidRPr="00493AC6">
        <w:rPr>
          <w:rFonts w:ascii="Open Sans" w:hAnsi="Open Sans" w:cs="Open Sans"/>
        </w:rPr>
        <w:t xml:space="preserve">family members who provided informal care and support for both herself and her </w:t>
      </w:r>
      <w:r w:rsidR="1ACDE407" w:rsidRPr="00493AC6">
        <w:rPr>
          <w:rFonts w:ascii="Open Sans" w:hAnsi="Open Sans" w:cs="Open Sans"/>
        </w:rPr>
        <w:t>young children, and therefore was not suitable.</w:t>
      </w:r>
    </w:p>
    <w:p w14:paraId="541BB39B" w14:textId="7DD885CF" w:rsidR="003322F8" w:rsidRPr="00493AC6" w:rsidRDefault="001B04DA" w:rsidP="007E72F1">
      <w:pPr>
        <w:rPr>
          <w:rFonts w:ascii="Open Sans" w:hAnsi="Open Sans" w:cs="Open Sans"/>
        </w:rPr>
      </w:pPr>
      <w:r w:rsidRPr="00493AC6">
        <w:rPr>
          <w:rFonts w:ascii="Open Sans" w:hAnsi="Open Sans" w:cs="Open Sans"/>
        </w:rPr>
        <w:t>All of t</w:t>
      </w:r>
      <w:r w:rsidR="009B1DFB" w:rsidRPr="00493AC6">
        <w:rPr>
          <w:rFonts w:ascii="Open Sans" w:hAnsi="Open Sans" w:cs="Open Sans"/>
        </w:rPr>
        <w:t xml:space="preserve">his meant that when the NWTA </w:t>
      </w:r>
      <w:r w:rsidR="00967A18" w:rsidRPr="00493AC6">
        <w:rPr>
          <w:rFonts w:ascii="Open Sans" w:hAnsi="Open Sans" w:cs="Open Sans"/>
        </w:rPr>
        <w:t>practitioner</w:t>
      </w:r>
      <w:r w:rsidR="009B1DFB" w:rsidRPr="00493AC6">
        <w:rPr>
          <w:rFonts w:ascii="Open Sans" w:hAnsi="Open Sans" w:cs="Open Sans"/>
        </w:rPr>
        <w:t xml:space="preserve"> began supporting her, </w:t>
      </w:r>
      <w:r w:rsidR="00D075E3" w:rsidRPr="00493AC6">
        <w:rPr>
          <w:rFonts w:ascii="Open Sans" w:hAnsi="Open Sans" w:cs="Open Sans"/>
        </w:rPr>
        <w:t>Lucy</w:t>
      </w:r>
      <w:r w:rsidR="009B1DFB" w:rsidRPr="00493AC6">
        <w:rPr>
          <w:rFonts w:ascii="Open Sans" w:hAnsi="Open Sans" w:cs="Open Sans"/>
        </w:rPr>
        <w:t xml:space="preserve"> was </w:t>
      </w:r>
      <w:r w:rsidRPr="00493AC6">
        <w:rPr>
          <w:rFonts w:ascii="Open Sans" w:hAnsi="Open Sans" w:cs="Open Sans"/>
        </w:rPr>
        <w:t xml:space="preserve">extremely </w:t>
      </w:r>
      <w:r w:rsidR="009B1DFB" w:rsidRPr="00493AC6">
        <w:rPr>
          <w:rFonts w:ascii="Open Sans" w:hAnsi="Open Sans" w:cs="Open Sans"/>
        </w:rPr>
        <w:t xml:space="preserve">anxious about going </w:t>
      </w:r>
      <w:r w:rsidR="00DE739B" w:rsidRPr="00493AC6">
        <w:rPr>
          <w:rFonts w:ascii="Open Sans" w:hAnsi="Open Sans" w:cs="Open Sans"/>
        </w:rPr>
        <w:t>to</w:t>
      </w:r>
      <w:r w:rsidR="009B1DFB" w:rsidRPr="00493AC6">
        <w:rPr>
          <w:rFonts w:ascii="Open Sans" w:hAnsi="Open Sans" w:cs="Open Sans"/>
        </w:rPr>
        <w:t xml:space="preserve"> a refuge that </w:t>
      </w:r>
      <w:r w:rsidR="00E556B0" w:rsidRPr="00493AC6">
        <w:rPr>
          <w:rFonts w:ascii="Open Sans" w:hAnsi="Open Sans" w:cs="Open Sans"/>
        </w:rPr>
        <w:t xml:space="preserve">was </w:t>
      </w:r>
      <w:r w:rsidR="00862B5A" w:rsidRPr="00493AC6">
        <w:rPr>
          <w:rFonts w:ascii="Open Sans" w:hAnsi="Open Sans" w:cs="Open Sans"/>
        </w:rPr>
        <w:t>not very close</w:t>
      </w:r>
      <w:r w:rsidR="00E556B0" w:rsidRPr="00493AC6">
        <w:rPr>
          <w:rFonts w:ascii="Open Sans" w:hAnsi="Open Sans" w:cs="Open Sans"/>
        </w:rPr>
        <w:t xml:space="preserve"> </w:t>
      </w:r>
      <w:r w:rsidR="00A925E7" w:rsidRPr="00493AC6">
        <w:rPr>
          <w:rFonts w:ascii="Open Sans" w:hAnsi="Open Sans" w:cs="Open Sans"/>
        </w:rPr>
        <w:t xml:space="preserve">to </w:t>
      </w:r>
      <w:r w:rsidR="00E556B0" w:rsidRPr="00493AC6">
        <w:rPr>
          <w:rFonts w:ascii="Open Sans" w:hAnsi="Open Sans" w:cs="Open Sans"/>
        </w:rPr>
        <w:t xml:space="preserve">her </w:t>
      </w:r>
      <w:r w:rsidR="003C1AB0" w:rsidRPr="00493AC6">
        <w:rPr>
          <w:rFonts w:ascii="Open Sans" w:hAnsi="Open Sans" w:cs="Open Sans"/>
        </w:rPr>
        <w:t>support networks</w:t>
      </w:r>
      <w:r w:rsidR="00E556B0" w:rsidRPr="00493AC6">
        <w:rPr>
          <w:rFonts w:ascii="Open Sans" w:hAnsi="Open Sans" w:cs="Open Sans"/>
        </w:rPr>
        <w:t xml:space="preserve">. The </w:t>
      </w:r>
      <w:r w:rsidR="00967A18" w:rsidRPr="00493AC6">
        <w:rPr>
          <w:rFonts w:ascii="Open Sans" w:hAnsi="Open Sans" w:cs="Open Sans"/>
        </w:rPr>
        <w:t>practitioner</w:t>
      </w:r>
      <w:r w:rsidR="00E556B0" w:rsidRPr="00493AC6">
        <w:rPr>
          <w:rFonts w:ascii="Open Sans" w:hAnsi="Open Sans" w:cs="Open Sans"/>
        </w:rPr>
        <w:t xml:space="preserve"> explained how </w:t>
      </w:r>
      <w:r w:rsidR="00A304C6" w:rsidRPr="00493AC6">
        <w:rPr>
          <w:rFonts w:ascii="Open Sans" w:hAnsi="Open Sans" w:cs="Open Sans"/>
        </w:rPr>
        <w:t xml:space="preserve">a refuge would be unlikely to allow her </w:t>
      </w:r>
      <w:r w:rsidR="003C1AB0" w:rsidRPr="00493AC6">
        <w:rPr>
          <w:rFonts w:ascii="Open Sans" w:hAnsi="Open Sans" w:cs="Open Sans"/>
        </w:rPr>
        <w:t>family</w:t>
      </w:r>
      <w:r w:rsidR="00A304C6" w:rsidRPr="00493AC6">
        <w:rPr>
          <w:rFonts w:ascii="Open Sans" w:hAnsi="Open Sans" w:cs="Open Sans"/>
        </w:rPr>
        <w:t xml:space="preserve"> to visit due to safety concerns around the refuge location </w:t>
      </w:r>
      <w:r w:rsidR="00DE739B" w:rsidRPr="00493AC6">
        <w:rPr>
          <w:rFonts w:ascii="Open Sans" w:hAnsi="Open Sans" w:cs="Open Sans"/>
        </w:rPr>
        <w:t>becoming</w:t>
      </w:r>
      <w:r w:rsidR="00A304C6" w:rsidRPr="00493AC6">
        <w:rPr>
          <w:rFonts w:ascii="Open Sans" w:hAnsi="Open Sans" w:cs="Open Sans"/>
        </w:rPr>
        <w:t xml:space="preserve"> known. </w:t>
      </w:r>
      <w:r w:rsidRPr="00493AC6">
        <w:rPr>
          <w:rFonts w:ascii="Open Sans" w:hAnsi="Open Sans" w:cs="Open Sans"/>
        </w:rPr>
        <w:t xml:space="preserve">Therefore, </w:t>
      </w:r>
      <w:r w:rsidR="00D075E3" w:rsidRPr="00493AC6">
        <w:rPr>
          <w:rFonts w:ascii="Open Sans" w:hAnsi="Open Sans" w:cs="Open Sans"/>
        </w:rPr>
        <w:t>Lucy</w:t>
      </w:r>
      <w:r w:rsidRPr="00493AC6">
        <w:rPr>
          <w:rFonts w:ascii="Open Sans" w:hAnsi="Open Sans" w:cs="Open Sans"/>
        </w:rPr>
        <w:t xml:space="preserve"> agreed to let the </w:t>
      </w:r>
      <w:r w:rsidR="00967A18" w:rsidRPr="00493AC6">
        <w:rPr>
          <w:rFonts w:ascii="Open Sans" w:hAnsi="Open Sans" w:cs="Open Sans"/>
        </w:rPr>
        <w:t>practitioner</w:t>
      </w:r>
      <w:r w:rsidRPr="00493AC6">
        <w:rPr>
          <w:rFonts w:ascii="Open Sans" w:hAnsi="Open Sans" w:cs="Open Sans"/>
        </w:rPr>
        <w:t xml:space="preserve"> search for a refuge with 24-hour support slightly further afield than she had initially hoped for.</w:t>
      </w:r>
      <w:r w:rsidR="00A420C0" w:rsidRPr="00493AC6">
        <w:rPr>
          <w:rFonts w:ascii="Open Sans" w:hAnsi="Open Sans" w:cs="Open Sans"/>
        </w:rPr>
        <w:t xml:space="preserve"> Due to </w:t>
      </w:r>
      <w:r w:rsidR="00D075E3" w:rsidRPr="00493AC6">
        <w:rPr>
          <w:rFonts w:ascii="Open Sans" w:hAnsi="Open Sans" w:cs="Open Sans"/>
        </w:rPr>
        <w:t>Lucy</w:t>
      </w:r>
      <w:r w:rsidR="00A420C0" w:rsidRPr="00493AC6">
        <w:rPr>
          <w:rFonts w:ascii="Open Sans" w:hAnsi="Open Sans" w:cs="Open Sans"/>
        </w:rPr>
        <w:t xml:space="preserve">’s long-term health condition this also meant she required a room on the ground floor in a refuge. </w:t>
      </w:r>
    </w:p>
    <w:p w14:paraId="45C63200" w14:textId="77777777" w:rsidR="008A77C1" w:rsidRPr="00493AC6" w:rsidRDefault="00BD1283" w:rsidP="007E72F1">
      <w:pPr>
        <w:rPr>
          <w:rFonts w:ascii="Open Sans" w:hAnsi="Open Sans" w:cs="Open Sans"/>
        </w:rPr>
      </w:pPr>
      <w:r w:rsidRPr="00493AC6">
        <w:rPr>
          <w:rFonts w:ascii="Open Sans" w:hAnsi="Open Sans" w:cs="Open Sans"/>
        </w:rPr>
        <w:t xml:space="preserve">The </w:t>
      </w:r>
      <w:r w:rsidR="00967A18" w:rsidRPr="00493AC6">
        <w:rPr>
          <w:rFonts w:ascii="Open Sans" w:hAnsi="Open Sans" w:cs="Open Sans"/>
        </w:rPr>
        <w:t>practitioner</w:t>
      </w:r>
      <w:r w:rsidRPr="00493AC6">
        <w:rPr>
          <w:rFonts w:ascii="Open Sans" w:hAnsi="Open Sans" w:cs="Open Sans"/>
        </w:rPr>
        <w:t xml:space="preserve"> provided support to </w:t>
      </w:r>
      <w:r w:rsidR="00D075E3" w:rsidRPr="00493AC6">
        <w:rPr>
          <w:rFonts w:ascii="Open Sans" w:hAnsi="Open Sans" w:cs="Open Sans"/>
        </w:rPr>
        <w:t>Lucy</w:t>
      </w:r>
      <w:r w:rsidRPr="00493AC6">
        <w:rPr>
          <w:rFonts w:ascii="Open Sans" w:hAnsi="Open Sans" w:cs="Open Sans"/>
        </w:rPr>
        <w:t xml:space="preserve"> over a period of almost four months, usually on a daily basis. Over this period, the </w:t>
      </w:r>
      <w:r w:rsidR="00C04240" w:rsidRPr="00493AC6">
        <w:rPr>
          <w:rFonts w:ascii="Open Sans" w:hAnsi="Open Sans" w:cs="Open Sans"/>
        </w:rPr>
        <w:t>practitioner</w:t>
      </w:r>
      <w:r w:rsidRPr="00493AC6">
        <w:rPr>
          <w:rFonts w:ascii="Open Sans" w:hAnsi="Open Sans" w:cs="Open Sans"/>
        </w:rPr>
        <w:t xml:space="preserve"> searched for a refuge space on Routes to Support </w:t>
      </w:r>
      <w:r w:rsidR="00A925E7" w:rsidRPr="00493AC6">
        <w:rPr>
          <w:rFonts w:ascii="Open Sans" w:hAnsi="Open Sans" w:cs="Open Sans"/>
        </w:rPr>
        <w:t xml:space="preserve">(the UK violence against women and girls directory of services and refuge </w:t>
      </w:r>
      <w:r w:rsidR="00A925E7" w:rsidRPr="00493AC6">
        <w:rPr>
          <w:rFonts w:ascii="Open Sans" w:hAnsi="Open Sans" w:cs="Open Sans"/>
        </w:rPr>
        <w:lastRenderedPageBreak/>
        <w:t xml:space="preserve">vacancies) </w:t>
      </w:r>
      <w:r w:rsidRPr="00493AC6">
        <w:rPr>
          <w:rFonts w:ascii="Open Sans" w:hAnsi="Open Sans" w:cs="Open Sans"/>
        </w:rPr>
        <w:t xml:space="preserve">and found no suitable spaces on 40 occasions. </w:t>
      </w:r>
      <w:r w:rsidR="00061633" w:rsidRPr="00493AC6">
        <w:rPr>
          <w:rFonts w:ascii="Open Sans" w:hAnsi="Open Sans" w:cs="Open Sans"/>
        </w:rPr>
        <w:t xml:space="preserve">During this time, the non-molestation order that </w:t>
      </w:r>
      <w:r w:rsidR="00D075E3" w:rsidRPr="00493AC6">
        <w:rPr>
          <w:rFonts w:ascii="Open Sans" w:hAnsi="Open Sans" w:cs="Open Sans"/>
        </w:rPr>
        <w:t>Lucy</w:t>
      </w:r>
      <w:r w:rsidR="00061633" w:rsidRPr="00493AC6">
        <w:rPr>
          <w:rFonts w:ascii="Open Sans" w:hAnsi="Open Sans" w:cs="Open Sans"/>
        </w:rPr>
        <w:t xml:space="preserve"> managed to obtain to prevent her perpetrator from contacting her expired, leaving </w:t>
      </w:r>
      <w:r w:rsidR="00D075E3" w:rsidRPr="00493AC6">
        <w:rPr>
          <w:rFonts w:ascii="Open Sans" w:hAnsi="Open Sans" w:cs="Open Sans"/>
        </w:rPr>
        <w:t>Lucy</w:t>
      </w:r>
      <w:r w:rsidR="00061633" w:rsidRPr="00493AC6">
        <w:rPr>
          <w:rFonts w:ascii="Open Sans" w:hAnsi="Open Sans" w:cs="Open Sans"/>
        </w:rPr>
        <w:t xml:space="preserve"> extremely frightened for the safety of herself and her two children.</w:t>
      </w:r>
      <w:r w:rsidR="00A35480" w:rsidRPr="00493AC6">
        <w:rPr>
          <w:rFonts w:ascii="Open Sans" w:hAnsi="Open Sans" w:cs="Open Sans"/>
        </w:rPr>
        <w:t xml:space="preserve"> Unfortunately, the local housing team continued to only offer inappropriate accommodation that would have left </w:t>
      </w:r>
      <w:r w:rsidR="00D075E3" w:rsidRPr="00493AC6">
        <w:rPr>
          <w:rFonts w:ascii="Open Sans" w:hAnsi="Open Sans" w:cs="Open Sans"/>
        </w:rPr>
        <w:t>Lucy</w:t>
      </w:r>
      <w:r w:rsidR="00A35480" w:rsidRPr="00493AC6">
        <w:rPr>
          <w:rFonts w:ascii="Open Sans" w:hAnsi="Open Sans" w:cs="Open Sans"/>
        </w:rPr>
        <w:t xml:space="preserve"> isolated and struggling to support her two children on her own.</w:t>
      </w:r>
      <w:r w:rsidR="00061633" w:rsidRPr="00493AC6">
        <w:rPr>
          <w:rFonts w:ascii="Open Sans" w:hAnsi="Open Sans" w:cs="Open Sans"/>
        </w:rPr>
        <w:t xml:space="preserve"> </w:t>
      </w:r>
    </w:p>
    <w:p w14:paraId="5F790B08" w14:textId="77777777" w:rsidR="00D56C41" w:rsidRPr="00493AC6" w:rsidRDefault="6D242465" w:rsidP="007E72F1">
      <w:pPr>
        <w:rPr>
          <w:rFonts w:ascii="Open Sans" w:hAnsi="Open Sans" w:cs="Open Sans"/>
        </w:rPr>
      </w:pPr>
      <w:r w:rsidRPr="00493AC6">
        <w:rPr>
          <w:rFonts w:ascii="Open Sans" w:hAnsi="Open Sans" w:cs="Open Sans"/>
        </w:rPr>
        <w:t xml:space="preserve">After much support and advocacy by the NWTA </w:t>
      </w:r>
      <w:r w:rsidR="00C04240" w:rsidRPr="00493AC6">
        <w:rPr>
          <w:rFonts w:ascii="Open Sans" w:hAnsi="Open Sans" w:cs="Open Sans"/>
        </w:rPr>
        <w:t>practitione</w:t>
      </w:r>
      <w:r w:rsidRPr="00493AC6">
        <w:rPr>
          <w:rFonts w:ascii="Open Sans" w:hAnsi="Open Sans" w:cs="Open Sans"/>
        </w:rPr>
        <w:t xml:space="preserve">r, </w:t>
      </w:r>
      <w:r w:rsidR="00D075E3" w:rsidRPr="00493AC6">
        <w:rPr>
          <w:rFonts w:ascii="Open Sans" w:hAnsi="Open Sans" w:cs="Open Sans"/>
        </w:rPr>
        <w:t>Lucy</w:t>
      </w:r>
      <w:r w:rsidRPr="00493AC6">
        <w:rPr>
          <w:rFonts w:ascii="Open Sans" w:hAnsi="Open Sans" w:cs="Open Sans"/>
        </w:rPr>
        <w:t xml:space="preserve"> was eventually able to access some local grants that enabled her to move into private rented accommodation </w:t>
      </w:r>
      <w:r w:rsidR="3F944E1E" w:rsidRPr="00493AC6">
        <w:rPr>
          <w:rFonts w:ascii="Open Sans" w:hAnsi="Open Sans" w:cs="Open Sans"/>
        </w:rPr>
        <w:t>not too fa</w:t>
      </w:r>
      <w:r w:rsidR="00967A18" w:rsidRPr="00493AC6">
        <w:rPr>
          <w:rFonts w:ascii="Open Sans" w:hAnsi="Open Sans" w:cs="Open Sans"/>
        </w:rPr>
        <w:t xml:space="preserve">r away from her family members but also in an area </w:t>
      </w:r>
      <w:r w:rsidR="00A925E7" w:rsidRPr="00493AC6">
        <w:rPr>
          <w:rFonts w:ascii="Open Sans" w:hAnsi="Open Sans" w:cs="Open Sans"/>
        </w:rPr>
        <w:t xml:space="preserve">where </w:t>
      </w:r>
      <w:r w:rsidR="00967A18" w:rsidRPr="00493AC6">
        <w:rPr>
          <w:rFonts w:ascii="Open Sans" w:hAnsi="Open Sans" w:cs="Open Sans"/>
        </w:rPr>
        <w:t xml:space="preserve">the perpetrator </w:t>
      </w:r>
      <w:r w:rsidR="00A925E7" w:rsidRPr="00493AC6">
        <w:rPr>
          <w:rFonts w:ascii="Open Sans" w:hAnsi="Open Sans" w:cs="Open Sans"/>
        </w:rPr>
        <w:t>was unlikely to look for her</w:t>
      </w:r>
      <w:r w:rsidR="00967A18" w:rsidRPr="00493AC6">
        <w:rPr>
          <w:rFonts w:ascii="Open Sans" w:hAnsi="Open Sans" w:cs="Open Sans"/>
        </w:rPr>
        <w:t xml:space="preserve">. This meant that </w:t>
      </w:r>
      <w:r w:rsidR="00D075E3" w:rsidRPr="00493AC6">
        <w:rPr>
          <w:rFonts w:ascii="Open Sans" w:hAnsi="Open Sans" w:cs="Open Sans"/>
        </w:rPr>
        <w:t>Lucy</w:t>
      </w:r>
      <w:r w:rsidR="00967A18" w:rsidRPr="00493AC6">
        <w:rPr>
          <w:rFonts w:ascii="Open Sans" w:hAnsi="Open Sans" w:cs="Open Sans"/>
        </w:rPr>
        <w:t xml:space="preserve"> and her two children felt safe and were able to continue being supported by her family members.</w:t>
      </w:r>
    </w:p>
    <w:p w14:paraId="41A9145D" w14:textId="77777777" w:rsidR="001D500B" w:rsidRPr="00493AC6" w:rsidRDefault="00D56C41" w:rsidP="007E72F1">
      <w:pPr>
        <w:rPr>
          <w:rFonts w:ascii="Open Sans" w:hAnsi="Open Sans" w:cs="Open Sans"/>
        </w:rPr>
      </w:pPr>
      <w:r w:rsidRPr="00493AC6">
        <w:rPr>
          <w:rFonts w:ascii="Open Sans" w:hAnsi="Open Sans" w:cs="Open Sans"/>
        </w:rPr>
        <w:br w:type="page"/>
      </w:r>
    </w:p>
    <w:p w14:paraId="0E7F0130" w14:textId="77777777" w:rsidR="001D500B" w:rsidRPr="00493AC6" w:rsidRDefault="001D500B" w:rsidP="007E72F1">
      <w:pPr>
        <w:pStyle w:val="Heading2"/>
      </w:pPr>
      <w:bookmarkStart w:id="28" w:name="_Toc104535753"/>
      <w:r w:rsidRPr="00493AC6">
        <w:lastRenderedPageBreak/>
        <w:t>Challenges in securing support</w:t>
      </w:r>
      <w:bookmarkEnd w:id="28"/>
    </w:p>
    <w:p w14:paraId="395D5A44" w14:textId="5A63F2AA" w:rsidR="00321A5F" w:rsidRPr="00493AC6" w:rsidRDefault="00D075E3" w:rsidP="007E72F1">
      <w:pPr>
        <w:rPr>
          <w:rFonts w:ascii="Open Sans" w:hAnsi="Open Sans" w:cs="Open Sans"/>
        </w:rPr>
      </w:pPr>
      <w:r w:rsidRPr="00493AC6">
        <w:rPr>
          <w:rFonts w:ascii="Open Sans" w:hAnsi="Open Sans" w:cs="Open Sans"/>
        </w:rPr>
        <w:t>Lucy</w:t>
      </w:r>
      <w:r w:rsidR="00901049" w:rsidRPr="00493AC6">
        <w:rPr>
          <w:rFonts w:ascii="Open Sans" w:hAnsi="Open Sans" w:cs="Open Sans"/>
        </w:rPr>
        <w:t xml:space="preserve"> is not alone in her experience of a lack of suitable refuge vacanci</w:t>
      </w:r>
      <w:r w:rsidR="008A0DBF" w:rsidRPr="00493AC6">
        <w:rPr>
          <w:rFonts w:ascii="Open Sans" w:hAnsi="Open Sans" w:cs="Open Sans"/>
        </w:rPr>
        <w:t>es. This year there were three women</w:t>
      </w:r>
      <w:r w:rsidR="00E30511" w:rsidRPr="00493AC6">
        <w:rPr>
          <w:rFonts w:ascii="Open Sans" w:hAnsi="Open Sans" w:cs="Open Sans"/>
        </w:rPr>
        <w:t>,</w:t>
      </w:r>
      <w:r w:rsidR="008A0DBF" w:rsidRPr="00493AC6">
        <w:rPr>
          <w:rFonts w:ascii="Open Sans" w:hAnsi="Open Sans" w:cs="Open Sans"/>
        </w:rPr>
        <w:t xml:space="preserve"> including </w:t>
      </w:r>
      <w:r w:rsidRPr="00493AC6">
        <w:rPr>
          <w:rFonts w:ascii="Open Sans" w:hAnsi="Open Sans" w:cs="Open Sans"/>
        </w:rPr>
        <w:t>Lucy</w:t>
      </w:r>
      <w:r w:rsidR="00E30511" w:rsidRPr="00493AC6">
        <w:rPr>
          <w:rFonts w:ascii="Open Sans" w:hAnsi="Open Sans" w:cs="Open Sans"/>
        </w:rPr>
        <w:t>,</w:t>
      </w:r>
      <w:r w:rsidR="008A0DBF" w:rsidRPr="00493AC6">
        <w:rPr>
          <w:rFonts w:ascii="Open Sans" w:hAnsi="Open Sans" w:cs="Open Sans"/>
        </w:rPr>
        <w:t xml:space="preserve"> where the NWTA practitioners searched Routes to Support over 30 times without finding a space available.</w:t>
      </w:r>
      <w:r w:rsidR="00CE077E" w:rsidRPr="00493AC6">
        <w:rPr>
          <w:rStyle w:val="FootnoteReference"/>
          <w:rFonts w:ascii="Open Sans" w:hAnsi="Open Sans" w:cs="Open Sans"/>
        </w:rPr>
        <w:footnoteReference w:id="13"/>
      </w:r>
      <w:r w:rsidR="008A0DBF" w:rsidRPr="00493AC6">
        <w:rPr>
          <w:rFonts w:ascii="Open Sans" w:hAnsi="Open Sans" w:cs="Open Sans"/>
        </w:rPr>
        <w:t xml:space="preserve"> </w:t>
      </w:r>
      <w:r w:rsidR="00394CEA" w:rsidRPr="00493AC6">
        <w:rPr>
          <w:rFonts w:ascii="Open Sans" w:hAnsi="Open Sans" w:cs="Open Sans"/>
        </w:rPr>
        <w:t>This</w:t>
      </w:r>
      <w:r w:rsidR="0085437B" w:rsidRPr="00493AC6">
        <w:rPr>
          <w:rFonts w:ascii="Open Sans" w:hAnsi="Open Sans" w:cs="Open Sans"/>
        </w:rPr>
        <w:t xml:space="preserve"> is the first time that we have recorded the NWTA practitioners not finding</w:t>
      </w:r>
      <w:r w:rsidR="00611031" w:rsidRPr="00493AC6">
        <w:rPr>
          <w:rFonts w:ascii="Open Sans" w:hAnsi="Open Sans" w:cs="Open Sans"/>
        </w:rPr>
        <w:t xml:space="preserve"> a space</w:t>
      </w:r>
      <w:r w:rsidR="0085437B" w:rsidRPr="00493AC6">
        <w:rPr>
          <w:rFonts w:ascii="Open Sans" w:hAnsi="Open Sans" w:cs="Open Sans"/>
        </w:rPr>
        <w:t xml:space="preserve"> on Routes to Support over 30 times for a survivor. </w:t>
      </w:r>
      <w:r w:rsidR="005A642F" w:rsidRPr="00493AC6">
        <w:rPr>
          <w:rFonts w:ascii="Open Sans" w:hAnsi="Open Sans" w:cs="Open Sans"/>
        </w:rPr>
        <w:t>Unfortunat</w:t>
      </w:r>
      <w:r w:rsidR="00611031" w:rsidRPr="00493AC6">
        <w:rPr>
          <w:rFonts w:ascii="Open Sans" w:hAnsi="Open Sans" w:cs="Open Sans"/>
        </w:rPr>
        <w:t>ely,</w:t>
      </w:r>
      <w:r w:rsidR="005A642F" w:rsidRPr="00493AC6">
        <w:rPr>
          <w:rFonts w:ascii="Open Sans" w:hAnsi="Open Sans" w:cs="Open Sans"/>
        </w:rPr>
        <w:t xml:space="preserve"> this</w:t>
      </w:r>
      <w:r w:rsidR="00394CEA" w:rsidRPr="00493AC6">
        <w:rPr>
          <w:rFonts w:ascii="Open Sans" w:hAnsi="Open Sans" w:cs="Open Sans"/>
        </w:rPr>
        <w:t xml:space="preserve"> increase</w:t>
      </w:r>
      <w:r w:rsidR="00611031" w:rsidRPr="00493AC6">
        <w:rPr>
          <w:rFonts w:ascii="Open Sans" w:hAnsi="Open Sans" w:cs="Open Sans"/>
        </w:rPr>
        <w:t xml:space="preserve"> may</w:t>
      </w:r>
      <w:r w:rsidR="00394CEA" w:rsidRPr="00493AC6">
        <w:rPr>
          <w:rFonts w:ascii="Open Sans" w:hAnsi="Open Sans" w:cs="Open Sans"/>
        </w:rPr>
        <w:t xml:space="preserve"> </w:t>
      </w:r>
      <w:r w:rsidR="00611031" w:rsidRPr="00493AC6">
        <w:rPr>
          <w:rFonts w:ascii="Open Sans" w:hAnsi="Open Sans" w:cs="Open Sans"/>
        </w:rPr>
        <w:t>reflect</w:t>
      </w:r>
      <w:r w:rsidR="005A642F" w:rsidRPr="00493AC6">
        <w:rPr>
          <w:rFonts w:ascii="Open Sans" w:hAnsi="Open Sans" w:cs="Open Sans"/>
        </w:rPr>
        <w:t xml:space="preserve"> </w:t>
      </w:r>
      <w:r w:rsidR="00B91C52" w:rsidRPr="00493AC6">
        <w:rPr>
          <w:rFonts w:ascii="Open Sans" w:hAnsi="Open Sans" w:cs="Open Sans"/>
        </w:rPr>
        <w:t xml:space="preserve">fewer </w:t>
      </w:r>
      <w:r w:rsidR="00611031" w:rsidRPr="00493AC6">
        <w:rPr>
          <w:rFonts w:ascii="Open Sans" w:hAnsi="Open Sans" w:cs="Open Sans"/>
        </w:rPr>
        <w:t>available refuge spaces generally; in</w:t>
      </w:r>
      <w:r w:rsidR="005A642F" w:rsidRPr="00493AC6">
        <w:rPr>
          <w:rFonts w:ascii="Open Sans" w:hAnsi="Open Sans" w:cs="Open Sans"/>
        </w:rPr>
        <w:t xml:space="preserve"> this </w:t>
      </w:r>
      <w:r w:rsidR="00321A5F" w:rsidRPr="00493AC6">
        <w:rPr>
          <w:rFonts w:ascii="Open Sans" w:hAnsi="Open Sans" w:cs="Open Sans"/>
        </w:rPr>
        <w:t>year’s Annual Audit (Women’s Aid, 2022a</w:t>
      </w:r>
      <w:r w:rsidR="00611031" w:rsidRPr="00493AC6">
        <w:rPr>
          <w:rFonts w:ascii="Open Sans" w:hAnsi="Open Sans" w:cs="Open Sans"/>
        </w:rPr>
        <w:t xml:space="preserve">) </w:t>
      </w:r>
      <w:r w:rsidR="005A642F" w:rsidRPr="00493AC6">
        <w:rPr>
          <w:rFonts w:ascii="Open Sans" w:hAnsi="Open Sans" w:cs="Open Sans"/>
        </w:rPr>
        <w:t>we found a decrease of over two thousand refuge vacancies</w:t>
      </w:r>
      <w:r w:rsidR="00611031" w:rsidRPr="00493AC6">
        <w:rPr>
          <w:rFonts w:ascii="Open Sans" w:hAnsi="Open Sans" w:cs="Open Sans"/>
        </w:rPr>
        <w:t xml:space="preserve"> on Routes to Support</w:t>
      </w:r>
      <w:r w:rsidR="005A642F" w:rsidRPr="00493AC6">
        <w:rPr>
          <w:rFonts w:ascii="Open Sans" w:hAnsi="Open Sans" w:cs="Open Sans"/>
        </w:rPr>
        <w:t xml:space="preserve"> since 2019-20. </w:t>
      </w:r>
    </w:p>
    <w:p w14:paraId="0BF45BF7" w14:textId="3338F30D" w:rsidR="0097405A" w:rsidRPr="00493AC6" w:rsidRDefault="002C03E9" w:rsidP="007E72F1">
      <w:pPr>
        <w:rPr>
          <w:rFonts w:ascii="Open Sans" w:hAnsi="Open Sans" w:cs="Open Sans"/>
        </w:rPr>
      </w:pPr>
      <w:r w:rsidRPr="00493AC6">
        <w:rPr>
          <w:rFonts w:ascii="Open Sans" w:hAnsi="Open Sans" w:cs="Open Sans"/>
        </w:rPr>
        <w:t>As we also know from this year’s Annual Audit, refu</w:t>
      </w:r>
      <w:r w:rsidR="00A01CC2" w:rsidRPr="00493AC6">
        <w:rPr>
          <w:rFonts w:ascii="Open Sans" w:hAnsi="Open Sans" w:cs="Open Sans"/>
        </w:rPr>
        <w:t>ges</w:t>
      </w:r>
      <w:r w:rsidRPr="00493AC6">
        <w:rPr>
          <w:rFonts w:ascii="Open Sans" w:hAnsi="Open Sans" w:cs="Open Sans"/>
        </w:rPr>
        <w:t xml:space="preserve"> decline around 61.9% of referrals they receive, primarily because they do not have the space or capacity to support that survivor (Women’s Aid, 2022</w:t>
      </w:r>
      <w:r w:rsidR="00703265" w:rsidRPr="00493AC6">
        <w:rPr>
          <w:rFonts w:ascii="Open Sans" w:hAnsi="Open Sans" w:cs="Open Sans"/>
        </w:rPr>
        <w:t xml:space="preserve">b). </w:t>
      </w:r>
      <w:r w:rsidR="004560F8" w:rsidRPr="00493AC6">
        <w:rPr>
          <w:rFonts w:ascii="Open Sans" w:hAnsi="Open Sans" w:cs="Open Sans"/>
        </w:rPr>
        <w:t>This means that w</w:t>
      </w:r>
      <w:r w:rsidR="009F305F" w:rsidRPr="00493AC6">
        <w:rPr>
          <w:rFonts w:ascii="Open Sans" w:hAnsi="Open Sans" w:cs="Open Sans"/>
        </w:rPr>
        <w:t>hen the NWTA practitioners were able to find a suitable refuge space</w:t>
      </w:r>
      <w:r w:rsidR="001F7557" w:rsidRPr="00493AC6">
        <w:rPr>
          <w:rFonts w:ascii="Open Sans" w:hAnsi="Open Sans" w:cs="Open Sans"/>
        </w:rPr>
        <w:t xml:space="preserve"> on Routes to Support</w:t>
      </w:r>
      <w:r w:rsidR="009F305F" w:rsidRPr="00493AC6">
        <w:rPr>
          <w:rFonts w:ascii="Open Sans" w:hAnsi="Open Sans" w:cs="Open Sans"/>
        </w:rPr>
        <w:t xml:space="preserve"> th</w:t>
      </w:r>
      <w:r w:rsidR="001F7557" w:rsidRPr="00493AC6">
        <w:rPr>
          <w:rFonts w:ascii="Open Sans" w:hAnsi="Open Sans" w:cs="Open Sans"/>
        </w:rPr>
        <w:t>ey still experienced a high number of rejections</w:t>
      </w:r>
      <w:r w:rsidR="00E30511" w:rsidRPr="00493AC6">
        <w:rPr>
          <w:rFonts w:ascii="Open Sans" w:hAnsi="Open Sans" w:cs="Open Sans"/>
        </w:rPr>
        <w:t xml:space="preserve"> when they then contacted the service about the vacancy</w:t>
      </w:r>
      <w:r w:rsidR="001F7557" w:rsidRPr="00493AC6">
        <w:rPr>
          <w:rFonts w:ascii="Open Sans" w:hAnsi="Open Sans" w:cs="Open Sans"/>
        </w:rPr>
        <w:t xml:space="preserve">. </w:t>
      </w:r>
      <w:r w:rsidR="0097405A" w:rsidRPr="00493AC6">
        <w:rPr>
          <w:rFonts w:ascii="Open Sans" w:hAnsi="Open Sans" w:cs="Open Sans"/>
        </w:rPr>
        <w:t xml:space="preserve">Out of 171 survivors where the number of times they had been refused refuge space had been recorded, there were a </w:t>
      </w:r>
      <w:r w:rsidR="001F7557" w:rsidRPr="00493AC6">
        <w:rPr>
          <w:rFonts w:ascii="Open Sans" w:hAnsi="Open Sans" w:cs="Open Sans"/>
        </w:rPr>
        <w:t xml:space="preserve">total </w:t>
      </w:r>
      <w:r w:rsidR="0097405A" w:rsidRPr="00493AC6">
        <w:rPr>
          <w:rFonts w:ascii="Open Sans" w:hAnsi="Open Sans" w:cs="Open Sans"/>
        </w:rPr>
        <w:t xml:space="preserve">of 238 rejections between these women. </w:t>
      </w:r>
      <w:r w:rsidR="001F7557" w:rsidRPr="00493AC6">
        <w:rPr>
          <w:rFonts w:ascii="Open Sans" w:hAnsi="Open Sans" w:cs="Open Sans"/>
        </w:rPr>
        <w:t xml:space="preserve">The number of rejections per survivor ranged from 0 to 15, with an </w:t>
      </w:r>
      <w:r w:rsidR="001F7557" w:rsidRPr="00493AC6">
        <w:rPr>
          <w:rFonts w:ascii="Open Sans" w:hAnsi="Open Sans" w:cs="Open Sans"/>
        </w:rPr>
        <w:lastRenderedPageBreak/>
        <w:t>average of 1.4 rejections per survivor.</w:t>
      </w:r>
      <w:r w:rsidR="001263A0" w:rsidRPr="00493AC6">
        <w:rPr>
          <w:rStyle w:val="FootnoteReference"/>
          <w:rFonts w:ascii="Open Sans" w:hAnsi="Open Sans" w:cs="Open Sans"/>
        </w:rPr>
        <w:footnoteReference w:id="14"/>
      </w:r>
      <w:r w:rsidR="00540957" w:rsidRPr="00493AC6">
        <w:rPr>
          <w:rFonts w:ascii="Open Sans" w:hAnsi="Open Sans" w:cs="Open Sans"/>
        </w:rPr>
        <w:t xml:space="preserve"> The most common reasons that refuges were unable to accept survivors were: unable to support needs around </w:t>
      </w:r>
      <w:r w:rsidR="00955F65" w:rsidRPr="00493AC6">
        <w:rPr>
          <w:rFonts w:ascii="Open Sans" w:hAnsi="Open Sans" w:cs="Open Sans"/>
        </w:rPr>
        <w:t>No Recourse to Public Funds (</w:t>
      </w:r>
      <w:r w:rsidR="00540957" w:rsidRPr="00493AC6">
        <w:rPr>
          <w:rFonts w:ascii="Open Sans" w:hAnsi="Open Sans" w:cs="Open Sans"/>
        </w:rPr>
        <w:t>NRPF</w:t>
      </w:r>
      <w:r w:rsidR="00955F65" w:rsidRPr="00493AC6">
        <w:rPr>
          <w:rFonts w:ascii="Open Sans" w:hAnsi="Open Sans" w:cs="Open Sans"/>
        </w:rPr>
        <w:t>)</w:t>
      </w:r>
      <w:r w:rsidR="00540957" w:rsidRPr="00493AC6">
        <w:rPr>
          <w:rFonts w:ascii="Open Sans" w:hAnsi="Open Sans" w:cs="Open Sans"/>
        </w:rPr>
        <w:t xml:space="preserve"> (26 women); unable to support needs around mental health (17 women); and unable to support needs around substance misuse (14 women).</w:t>
      </w:r>
    </w:p>
    <w:p w14:paraId="78B17E10" w14:textId="7FFADB13" w:rsidR="008E7020" w:rsidRPr="00493AC6" w:rsidRDefault="3E5E8226" w:rsidP="007E72F1">
      <w:pPr>
        <w:rPr>
          <w:rFonts w:ascii="Open Sans" w:hAnsi="Open Sans" w:cs="Open Sans"/>
        </w:rPr>
      </w:pPr>
      <w:r w:rsidRPr="00493AC6">
        <w:rPr>
          <w:rFonts w:ascii="Open Sans" w:hAnsi="Open Sans" w:cs="Open Sans"/>
        </w:rPr>
        <w:t>One woman was rejected 15 times</w:t>
      </w:r>
      <w:r w:rsidR="26CC815C" w:rsidRPr="00493AC6">
        <w:rPr>
          <w:rFonts w:ascii="Open Sans" w:hAnsi="Open Sans" w:cs="Open Sans"/>
        </w:rPr>
        <w:t>, another woman 13 times, and another 10 times.</w:t>
      </w:r>
      <w:r w:rsidR="00601971" w:rsidRPr="00493AC6">
        <w:rPr>
          <w:rFonts w:ascii="Open Sans" w:hAnsi="Open Sans" w:cs="Open Sans"/>
        </w:rPr>
        <w:t xml:space="preserve"> </w:t>
      </w:r>
      <w:r w:rsidR="00C30B25" w:rsidRPr="00493AC6">
        <w:rPr>
          <w:rFonts w:ascii="Open Sans" w:hAnsi="Open Sans" w:cs="Open Sans"/>
        </w:rPr>
        <w:t>None of these survivors</w:t>
      </w:r>
      <w:r w:rsidR="008F6C48" w:rsidRPr="00493AC6">
        <w:rPr>
          <w:rFonts w:ascii="Open Sans" w:hAnsi="Open Sans" w:cs="Open Sans"/>
        </w:rPr>
        <w:t xml:space="preserve"> were accommodated in a suitable refuge after rece</w:t>
      </w:r>
      <w:r w:rsidR="0007101A" w:rsidRPr="00493AC6">
        <w:rPr>
          <w:rFonts w:ascii="Open Sans" w:hAnsi="Open Sans" w:cs="Open Sans"/>
        </w:rPr>
        <w:t xml:space="preserve">iving support from the project, however, the NWTA practitioners </w:t>
      </w:r>
      <w:r w:rsidR="006E1724" w:rsidRPr="00493AC6">
        <w:rPr>
          <w:rFonts w:ascii="Open Sans" w:hAnsi="Open Sans" w:cs="Open Sans"/>
        </w:rPr>
        <w:t>were still able to work with them to find a positive outcome</w:t>
      </w:r>
      <w:r w:rsidR="0007101A" w:rsidRPr="00493AC6">
        <w:rPr>
          <w:rFonts w:ascii="Open Sans" w:hAnsi="Open Sans" w:cs="Open Sans"/>
        </w:rPr>
        <w:t>. One was supported to find private accommodation</w:t>
      </w:r>
      <w:r w:rsidR="006E1724" w:rsidRPr="00493AC6">
        <w:rPr>
          <w:rFonts w:ascii="Open Sans" w:hAnsi="Open Sans" w:cs="Open Sans"/>
        </w:rPr>
        <w:t xml:space="preserve">, </w:t>
      </w:r>
      <w:r w:rsidR="0007101A" w:rsidRPr="00493AC6">
        <w:rPr>
          <w:rFonts w:ascii="Open Sans" w:hAnsi="Open Sans" w:cs="Open Sans"/>
        </w:rPr>
        <w:t xml:space="preserve">another </w:t>
      </w:r>
      <w:r w:rsidR="003E5333" w:rsidRPr="00493AC6">
        <w:rPr>
          <w:rFonts w:ascii="Open Sans" w:hAnsi="Open Sans" w:cs="Open Sans"/>
        </w:rPr>
        <w:t>was helped to find</w:t>
      </w:r>
      <w:r w:rsidR="0007101A" w:rsidRPr="00493AC6">
        <w:rPr>
          <w:rFonts w:ascii="Open Sans" w:hAnsi="Open Sans" w:cs="Open Sans"/>
        </w:rPr>
        <w:t xml:space="preserve"> temporary accommodation</w:t>
      </w:r>
      <w:r w:rsidR="003E5333" w:rsidRPr="00493AC6">
        <w:rPr>
          <w:rFonts w:ascii="Open Sans" w:hAnsi="Open Sans" w:cs="Open Sans"/>
        </w:rPr>
        <w:t xml:space="preserve"> through her local authority</w:t>
      </w:r>
      <w:r w:rsidR="0007101A" w:rsidRPr="00493AC6">
        <w:rPr>
          <w:rFonts w:ascii="Open Sans" w:hAnsi="Open Sans" w:cs="Open Sans"/>
        </w:rPr>
        <w:t xml:space="preserve">, and one was able to access accommodation </w:t>
      </w:r>
      <w:r w:rsidR="006E1724" w:rsidRPr="00493AC6">
        <w:rPr>
          <w:rFonts w:ascii="Open Sans" w:hAnsi="Open Sans" w:cs="Open Sans"/>
        </w:rPr>
        <w:t>that had come about through Covid-19 response funding.</w:t>
      </w:r>
      <w:r w:rsidR="0007101A" w:rsidRPr="00493AC6">
        <w:rPr>
          <w:rFonts w:ascii="Open Sans" w:hAnsi="Open Sans" w:cs="Open Sans"/>
        </w:rPr>
        <w:t xml:space="preserve"> </w:t>
      </w:r>
      <w:r w:rsidR="0083280A" w:rsidRPr="00493AC6">
        <w:rPr>
          <w:rFonts w:ascii="Open Sans" w:hAnsi="Open Sans" w:cs="Open Sans"/>
        </w:rPr>
        <w:t>U</w:t>
      </w:r>
      <w:r w:rsidR="002C03E9" w:rsidRPr="00493AC6">
        <w:rPr>
          <w:rFonts w:ascii="Open Sans" w:hAnsi="Open Sans" w:cs="Open Sans"/>
        </w:rPr>
        <w:t xml:space="preserve">nfortunately, </w:t>
      </w:r>
      <w:r w:rsidR="00A11DC5" w:rsidRPr="00493AC6">
        <w:rPr>
          <w:rFonts w:ascii="Open Sans" w:hAnsi="Open Sans" w:cs="Open Sans"/>
        </w:rPr>
        <w:t>a</w:t>
      </w:r>
      <w:r w:rsidR="00C30B25" w:rsidRPr="00493AC6">
        <w:rPr>
          <w:rFonts w:ascii="Open Sans" w:hAnsi="Open Sans" w:cs="Open Sans"/>
        </w:rPr>
        <w:t>ccessing this safe accommodation was</w:t>
      </w:r>
      <w:r w:rsidR="00A11DC5" w:rsidRPr="00493AC6">
        <w:rPr>
          <w:rFonts w:ascii="Open Sans" w:hAnsi="Open Sans" w:cs="Open Sans"/>
        </w:rPr>
        <w:t xml:space="preserve"> </w:t>
      </w:r>
      <w:r w:rsidR="00C30B25" w:rsidRPr="00493AC6">
        <w:rPr>
          <w:rFonts w:ascii="Open Sans" w:hAnsi="Open Sans" w:cs="Open Sans"/>
        </w:rPr>
        <w:t xml:space="preserve">not at all straightforward for these women, and </w:t>
      </w:r>
      <w:r w:rsidR="00A11DC5" w:rsidRPr="00493AC6">
        <w:rPr>
          <w:rFonts w:ascii="Open Sans" w:hAnsi="Open Sans" w:cs="Open Sans"/>
        </w:rPr>
        <w:t xml:space="preserve">one survivor was </w:t>
      </w:r>
      <w:r w:rsidR="005C41A8" w:rsidRPr="00493AC6">
        <w:rPr>
          <w:rFonts w:ascii="Open Sans" w:hAnsi="Open Sans" w:cs="Open Sans"/>
        </w:rPr>
        <w:t xml:space="preserve">seriously </w:t>
      </w:r>
      <w:r w:rsidR="00A11DC5" w:rsidRPr="00493AC6">
        <w:rPr>
          <w:rFonts w:ascii="Open Sans" w:hAnsi="Open Sans" w:cs="Open Sans"/>
        </w:rPr>
        <w:t>let down by the police after being physically assaulted. Y</w:t>
      </w:r>
      <w:r w:rsidR="00BF38AF" w:rsidRPr="00493AC6">
        <w:rPr>
          <w:rFonts w:ascii="Open Sans" w:hAnsi="Open Sans" w:cs="Open Sans"/>
        </w:rPr>
        <w:t xml:space="preserve">ou can read </w:t>
      </w:r>
      <w:r w:rsidR="00C30B25" w:rsidRPr="00493AC6">
        <w:rPr>
          <w:rFonts w:ascii="Open Sans" w:hAnsi="Open Sans" w:cs="Open Sans"/>
        </w:rPr>
        <w:t>this survivor</w:t>
      </w:r>
      <w:r w:rsidR="00330715">
        <w:rPr>
          <w:rFonts w:ascii="Open Sans" w:hAnsi="Open Sans" w:cs="Open Sans"/>
        </w:rPr>
        <w:t>’</w:t>
      </w:r>
      <w:r w:rsidR="00C30B25" w:rsidRPr="00493AC6">
        <w:rPr>
          <w:rFonts w:ascii="Open Sans" w:hAnsi="Open Sans" w:cs="Open Sans"/>
        </w:rPr>
        <w:t>s</w:t>
      </w:r>
      <w:r w:rsidR="00A11DC5" w:rsidRPr="00493AC6">
        <w:rPr>
          <w:rFonts w:ascii="Open Sans" w:hAnsi="Open Sans" w:cs="Open Sans"/>
        </w:rPr>
        <w:t xml:space="preserve"> story on page</w:t>
      </w:r>
      <w:r w:rsidR="008339E6">
        <w:rPr>
          <w:rFonts w:ascii="Open Sans" w:hAnsi="Open Sans" w:cs="Open Sans"/>
        </w:rPr>
        <w:t xml:space="preserve"> 52</w:t>
      </w:r>
      <w:r w:rsidR="00A11DC5" w:rsidRPr="00493AC6">
        <w:rPr>
          <w:rFonts w:ascii="Open Sans" w:hAnsi="Open Sans" w:cs="Open Sans"/>
        </w:rPr>
        <w:t xml:space="preserve"> </w:t>
      </w:r>
      <w:r w:rsidR="00BF38AF" w:rsidRPr="00493AC6">
        <w:rPr>
          <w:rFonts w:ascii="Open Sans" w:hAnsi="Open Sans" w:cs="Open Sans"/>
        </w:rPr>
        <w:t>(Makena’s</w:t>
      </w:r>
      <w:r w:rsidR="00C30B25" w:rsidRPr="00493AC6">
        <w:rPr>
          <w:rStyle w:val="FootnoteReference"/>
          <w:rFonts w:ascii="Open Sans" w:hAnsi="Open Sans" w:cs="Open Sans"/>
          <w:sz w:val="20"/>
        </w:rPr>
        <w:footnoteReference w:id="15"/>
      </w:r>
      <w:r w:rsidR="00BF38AF" w:rsidRPr="00493AC6">
        <w:rPr>
          <w:rFonts w:ascii="Open Sans" w:hAnsi="Open Sans" w:cs="Open Sans"/>
        </w:rPr>
        <w:t xml:space="preserve"> story)</w:t>
      </w:r>
      <w:r w:rsidR="00A11DC5" w:rsidRPr="00493AC6">
        <w:rPr>
          <w:rFonts w:ascii="Open Sans" w:hAnsi="Open Sans" w:cs="Open Sans"/>
        </w:rPr>
        <w:t>.</w:t>
      </w:r>
    </w:p>
    <w:p w14:paraId="65915EF0" w14:textId="77777777" w:rsidR="00F26558" w:rsidRPr="00493AC6" w:rsidRDefault="00DC11EF" w:rsidP="007E72F1">
      <w:pPr>
        <w:rPr>
          <w:rFonts w:ascii="Open Sans" w:hAnsi="Open Sans" w:cs="Open Sans"/>
        </w:rPr>
      </w:pPr>
      <w:r w:rsidRPr="00493AC6">
        <w:rPr>
          <w:rFonts w:ascii="Open Sans" w:hAnsi="Open Sans" w:cs="Open Sans"/>
        </w:rPr>
        <w:t>There were a range of reasons refuge services were not able to meet the needs of women supported by the project</w:t>
      </w:r>
      <w:r w:rsidR="006E0650" w:rsidRPr="00493AC6">
        <w:rPr>
          <w:rFonts w:ascii="Open Sans" w:hAnsi="Open Sans" w:cs="Open Sans"/>
        </w:rPr>
        <w:t>, many of which highlight the structural inequalities that act as barriers for many survivors seeking safe refuge accommodation</w:t>
      </w:r>
      <w:r w:rsidRPr="00493AC6">
        <w:rPr>
          <w:rFonts w:ascii="Open Sans" w:hAnsi="Open Sans" w:cs="Open Sans"/>
        </w:rPr>
        <w:t xml:space="preserve">. Table 1 outlines the </w:t>
      </w:r>
      <w:r w:rsidRPr="00493AC6">
        <w:rPr>
          <w:rFonts w:ascii="Open Sans" w:hAnsi="Open Sans" w:cs="Open Sans"/>
        </w:rPr>
        <w:lastRenderedPageBreak/>
        <w:t>characteristics of women supported by the NWTA specialist practitioners this year</w:t>
      </w:r>
      <w:r w:rsidR="00592F8F" w:rsidRPr="00493AC6">
        <w:rPr>
          <w:rFonts w:ascii="Open Sans" w:hAnsi="Open Sans" w:cs="Open Sans"/>
        </w:rPr>
        <w:t>,</w:t>
      </w:r>
      <w:r w:rsidRPr="00493AC6">
        <w:rPr>
          <w:rFonts w:ascii="Open Sans" w:hAnsi="Open Sans" w:cs="Open Sans"/>
        </w:rPr>
        <w:t xml:space="preserve"> </w:t>
      </w:r>
      <w:r w:rsidR="006E0650" w:rsidRPr="00493AC6">
        <w:rPr>
          <w:rFonts w:ascii="Open Sans" w:hAnsi="Open Sans" w:cs="Open Sans"/>
        </w:rPr>
        <w:t xml:space="preserve">based on the reasons they were referred to the NWTA project for support. </w:t>
      </w:r>
    </w:p>
    <w:p w14:paraId="7FE01FC7" w14:textId="149C4F4B" w:rsidR="00F26558" w:rsidRPr="00493AC6" w:rsidRDefault="00F26558" w:rsidP="007E72F1">
      <w:pPr>
        <w:rPr>
          <w:rFonts w:ascii="Open Sans" w:hAnsi="Open Sans" w:cs="Open Sans"/>
        </w:rPr>
      </w:pPr>
    </w:p>
    <w:p w14:paraId="4B9ABDA6" w14:textId="76A7CC90" w:rsidR="00E82D06" w:rsidRPr="00D651DC" w:rsidRDefault="00D651DC" w:rsidP="00D651DC">
      <w:pPr>
        <w:pStyle w:val="Heading3"/>
      </w:pPr>
      <w:r w:rsidRPr="00D651DC">
        <w:t>Table 1:</w:t>
      </w:r>
      <w:r w:rsidR="00E82D06" w:rsidRPr="00D651DC">
        <w:t xml:space="preserve"> Characteristics of women supported by the NWTA specialist practitioners based on the reason for referral</w:t>
      </w:r>
    </w:p>
    <w:p w14:paraId="3E311FA1" w14:textId="77777777" w:rsidR="00D651DC" w:rsidRDefault="00D651DC" w:rsidP="007E72F1">
      <w:r w:rsidRPr="00D651DC">
        <w:t>Please note that this is a text version of a table depicting the same data. You can view this data in table format in the PDF version of this report, available on the Women’s Aid Evidence Hub</w:t>
      </w:r>
      <w:r>
        <w:t>.</w:t>
      </w:r>
    </w:p>
    <w:p w14:paraId="0A320CB1" w14:textId="638AAA2F" w:rsidR="00E82D06" w:rsidRPr="00493AC6" w:rsidRDefault="00D651DC" w:rsidP="007E72F1">
      <w:r>
        <w:t>B</w:t>
      </w:r>
      <w:r w:rsidR="00CE5B23">
        <w:t>elow is a list of the different characteristics of women supported by the NWTA specialist practitioners, based on the reason for referral. There we</w:t>
      </w:r>
      <w:r>
        <w:t>re 184 women who were supported, and many had more than one of the listed support needs or circumstances.</w:t>
      </w:r>
    </w:p>
    <w:p w14:paraId="0F407052" w14:textId="153FAF99" w:rsidR="00F26558" w:rsidRPr="00D651DC" w:rsidRDefault="00877123"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77 (41.8%) </w:t>
      </w:r>
      <w:r w:rsidRPr="00D651DC">
        <w:rPr>
          <w:rFonts w:ascii="Open Sans" w:hAnsi="Open Sans" w:cs="Open Sans"/>
          <w:lang w:val="en-US"/>
        </w:rPr>
        <w:t>w</w:t>
      </w:r>
      <w:r w:rsidR="00F26558" w:rsidRPr="00D651DC">
        <w:rPr>
          <w:rFonts w:ascii="Open Sans" w:hAnsi="Open Sans" w:cs="Open Sans"/>
          <w:lang w:val="en-US"/>
        </w:rPr>
        <w:t>omen with mental health support needs</w:t>
      </w:r>
    </w:p>
    <w:p w14:paraId="3621C3E5" w14:textId="7284EA19" w:rsidR="00F26558" w:rsidRPr="00D651DC" w:rsidRDefault="00877123"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63 (34.2%) </w:t>
      </w:r>
      <w:r w:rsidRPr="00D651DC">
        <w:rPr>
          <w:rFonts w:ascii="Open Sans" w:hAnsi="Open Sans" w:cs="Open Sans"/>
          <w:lang w:val="en-US"/>
        </w:rPr>
        <w:t xml:space="preserve">women </w:t>
      </w:r>
      <w:r w:rsidR="00F26558" w:rsidRPr="00D651DC">
        <w:rPr>
          <w:rFonts w:ascii="Open Sans" w:hAnsi="Open Sans" w:cs="Open Sans"/>
          <w:lang w:val="en-US"/>
        </w:rPr>
        <w:t>who had No Recourse to Public Funds (NRPF)</w:t>
      </w:r>
      <w:r w:rsidR="00B13D12">
        <w:rPr>
          <w:rStyle w:val="FootnoteReference"/>
          <w:rFonts w:ascii="Open Sans" w:hAnsi="Open Sans" w:cs="Open Sans"/>
          <w:lang w:val="en-US"/>
        </w:rPr>
        <w:footnoteReference w:id="16"/>
      </w:r>
    </w:p>
    <w:p w14:paraId="48650B52" w14:textId="54260E29" w:rsidR="00F26558" w:rsidRPr="00D651DC" w:rsidRDefault="00877123"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38 (20.6%) </w:t>
      </w:r>
      <w:r w:rsidRPr="00D651DC">
        <w:rPr>
          <w:rFonts w:ascii="Open Sans" w:hAnsi="Open Sans" w:cs="Open Sans"/>
          <w:lang w:val="en-US"/>
        </w:rPr>
        <w:t>w</w:t>
      </w:r>
      <w:r w:rsidR="00F26558" w:rsidRPr="00D651DC">
        <w:rPr>
          <w:rFonts w:ascii="Open Sans" w:hAnsi="Open Sans" w:cs="Open Sans"/>
          <w:lang w:val="en-US"/>
        </w:rPr>
        <w:t>omen had one or more disability</w:t>
      </w:r>
      <w:r w:rsidR="00B13D12">
        <w:rPr>
          <w:rStyle w:val="FootnoteReference"/>
          <w:rFonts w:ascii="Open Sans" w:hAnsi="Open Sans" w:cs="Open Sans"/>
          <w:lang w:val="en-US"/>
        </w:rPr>
        <w:footnoteReference w:id="17"/>
      </w:r>
    </w:p>
    <w:p w14:paraId="67702E8A" w14:textId="7CAA06A7"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lastRenderedPageBreak/>
        <w:t xml:space="preserve">33 (17.9%) </w:t>
      </w:r>
      <w:r w:rsidRPr="00D651DC">
        <w:rPr>
          <w:rFonts w:ascii="Open Sans" w:hAnsi="Open Sans" w:cs="Open Sans"/>
          <w:lang w:val="en-US"/>
        </w:rPr>
        <w:t>wo</w:t>
      </w:r>
      <w:r w:rsidR="00F26558" w:rsidRPr="00D651DC">
        <w:rPr>
          <w:rFonts w:ascii="Open Sans" w:hAnsi="Open Sans" w:cs="Open Sans"/>
          <w:lang w:val="en-US"/>
        </w:rPr>
        <w:t>men with substance</w:t>
      </w:r>
      <w:r w:rsidRPr="00D651DC">
        <w:rPr>
          <w:rFonts w:ascii="Open Sans" w:hAnsi="Open Sans" w:cs="Open Sans"/>
          <w:lang w:val="en-US"/>
        </w:rPr>
        <w:t xml:space="preserve"> use support needs – drugs and/</w:t>
      </w:r>
      <w:r w:rsidR="00F26558" w:rsidRPr="00D651DC">
        <w:rPr>
          <w:rFonts w:ascii="Open Sans" w:hAnsi="Open Sans" w:cs="Open Sans"/>
          <w:lang w:val="en-US"/>
        </w:rPr>
        <w:t>or alcoho</w:t>
      </w:r>
      <w:r w:rsidRPr="00D651DC">
        <w:rPr>
          <w:rFonts w:ascii="Open Sans" w:hAnsi="Open Sans" w:cs="Open Sans"/>
          <w:lang w:val="en-US"/>
        </w:rPr>
        <w:t>l</w:t>
      </w:r>
    </w:p>
    <w:p w14:paraId="55B65799" w14:textId="2BE6C2A1"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25 (13.6%) </w:t>
      </w:r>
      <w:r w:rsidRPr="00D651DC">
        <w:rPr>
          <w:rFonts w:ascii="Open Sans" w:hAnsi="Open Sans" w:cs="Open Sans"/>
          <w:lang w:val="en-US"/>
        </w:rPr>
        <w:t>w</w:t>
      </w:r>
      <w:r w:rsidR="00F26558" w:rsidRPr="00D651DC">
        <w:rPr>
          <w:rFonts w:ascii="Open Sans" w:hAnsi="Open Sans" w:cs="Open Sans"/>
          <w:lang w:val="en-US"/>
        </w:rPr>
        <w:t>omen w</w:t>
      </w:r>
      <w:r w:rsidRPr="00D651DC">
        <w:rPr>
          <w:rFonts w:ascii="Open Sans" w:hAnsi="Open Sans" w:cs="Open Sans"/>
          <w:lang w:val="en-US"/>
        </w:rPr>
        <w:t>ith some language support needs</w:t>
      </w:r>
      <w:r w:rsidR="00CE5B23">
        <w:rPr>
          <w:rStyle w:val="FootnoteReference"/>
          <w:rFonts w:ascii="Open Sans" w:hAnsi="Open Sans" w:cs="Open Sans"/>
          <w:lang w:val="en-US"/>
        </w:rPr>
        <w:footnoteReference w:id="18"/>
      </w:r>
    </w:p>
    <w:p w14:paraId="4F4B5EE6" w14:textId="55C91FFD"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22 (11.9%)</w:t>
      </w:r>
      <w:r w:rsidRPr="00D651DC">
        <w:rPr>
          <w:rFonts w:ascii="Open Sans" w:hAnsi="Open Sans" w:cs="Open Sans"/>
          <w:lang w:val="en-US"/>
        </w:rPr>
        <w:t xml:space="preserve"> w</w:t>
      </w:r>
      <w:r w:rsidR="00F26558" w:rsidRPr="00D651DC">
        <w:rPr>
          <w:rFonts w:ascii="Open Sans" w:hAnsi="Open Sans" w:cs="Open Sans"/>
          <w:lang w:val="en-US"/>
        </w:rPr>
        <w:t>omen were tied to their local area</w:t>
      </w:r>
    </w:p>
    <w:p w14:paraId="198480FD" w14:textId="44480DAD"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19 (10.3%) </w:t>
      </w:r>
      <w:r w:rsidRPr="00D651DC">
        <w:rPr>
          <w:rFonts w:ascii="Open Sans" w:hAnsi="Open Sans" w:cs="Open Sans"/>
          <w:lang w:val="en-US"/>
        </w:rPr>
        <w:t>w</w:t>
      </w:r>
      <w:r w:rsidR="00F26558" w:rsidRPr="00D651DC">
        <w:rPr>
          <w:rFonts w:ascii="Open Sans" w:hAnsi="Open Sans" w:cs="Open Sans"/>
          <w:lang w:val="en-US"/>
        </w:rPr>
        <w:t>omen with 4+ children</w:t>
      </w:r>
    </w:p>
    <w:p w14:paraId="0B551ED0" w14:textId="6F980FF3"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19 (10.3%) </w:t>
      </w:r>
      <w:r w:rsidRPr="00D651DC">
        <w:rPr>
          <w:rFonts w:ascii="Open Sans" w:hAnsi="Open Sans" w:cs="Open Sans"/>
          <w:lang w:val="en-US"/>
        </w:rPr>
        <w:t>w</w:t>
      </w:r>
      <w:r w:rsidR="00F26558" w:rsidRPr="00D651DC">
        <w:rPr>
          <w:rFonts w:ascii="Open Sans" w:hAnsi="Open Sans" w:cs="Open Sans"/>
          <w:lang w:val="en-US"/>
        </w:rPr>
        <w:t>omen wi</w:t>
      </w:r>
      <w:r w:rsidRPr="00D651DC">
        <w:rPr>
          <w:rFonts w:ascii="Open Sans" w:hAnsi="Open Sans" w:cs="Open Sans"/>
          <w:lang w:val="en-US"/>
        </w:rPr>
        <w:t>th an offending history</w:t>
      </w:r>
    </w:p>
    <w:p w14:paraId="5B8BCE2E" w14:textId="76890BBE"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17 (9.2%) </w:t>
      </w:r>
      <w:r w:rsidRPr="00D651DC">
        <w:rPr>
          <w:rFonts w:ascii="Open Sans" w:hAnsi="Open Sans" w:cs="Open Sans"/>
          <w:lang w:val="en-US"/>
        </w:rPr>
        <w:t>w</w:t>
      </w:r>
      <w:r w:rsidR="00F26558" w:rsidRPr="00D651DC">
        <w:rPr>
          <w:rFonts w:ascii="Open Sans" w:hAnsi="Open Sans" w:cs="Open Sans"/>
          <w:lang w:val="en-US"/>
        </w:rPr>
        <w:t xml:space="preserve">omen with </w:t>
      </w:r>
      <w:r w:rsidRPr="00D651DC">
        <w:rPr>
          <w:rFonts w:ascii="Open Sans" w:hAnsi="Open Sans" w:cs="Open Sans"/>
          <w:lang w:val="en-US"/>
        </w:rPr>
        <w:t>older male children</w:t>
      </w:r>
    </w:p>
    <w:p w14:paraId="1D719288" w14:textId="23D99439"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4 (2.2%) </w:t>
      </w:r>
      <w:r w:rsidRPr="00D651DC">
        <w:rPr>
          <w:rFonts w:ascii="Open Sans" w:hAnsi="Open Sans" w:cs="Open Sans"/>
          <w:lang w:val="en-US"/>
        </w:rPr>
        <w:t>w</w:t>
      </w:r>
      <w:r w:rsidR="00F26558" w:rsidRPr="00D651DC">
        <w:rPr>
          <w:rFonts w:ascii="Open Sans" w:hAnsi="Open Sans" w:cs="Open Sans"/>
          <w:lang w:val="en-US"/>
        </w:rPr>
        <w:t>omen</w:t>
      </w:r>
      <w:r w:rsidRPr="00D651DC">
        <w:rPr>
          <w:rFonts w:ascii="Open Sans" w:hAnsi="Open Sans" w:cs="Open Sans"/>
          <w:lang w:val="en-US"/>
        </w:rPr>
        <w:t xml:space="preserve"> previously evicted from refuge</w:t>
      </w:r>
    </w:p>
    <w:p w14:paraId="290F1A63" w14:textId="5C5A62D5" w:rsidR="00F26558" w:rsidRPr="00D651DC" w:rsidRDefault="00B13D12" w:rsidP="00D651DC">
      <w:pPr>
        <w:pStyle w:val="ListParagraph"/>
        <w:numPr>
          <w:ilvl w:val="0"/>
          <w:numId w:val="16"/>
        </w:numPr>
        <w:rPr>
          <w:rFonts w:ascii="Open Sans" w:hAnsi="Open Sans" w:cs="Open Sans"/>
          <w:lang w:val="en-US"/>
        </w:rPr>
      </w:pPr>
      <w:r w:rsidRPr="00D651DC">
        <w:rPr>
          <w:rFonts w:ascii="Open Sans" w:hAnsi="Open Sans" w:cs="Open Sans"/>
          <w:b/>
          <w:bCs/>
          <w:lang w:val="en-US"/>
        </w:rPr>
        <w:t xml:space="preserve">50 (27.2%) </w:t>
      </w:r>
      <w:r w:rsidRPr="00D651DC">
        <w:rPr>
          <w:rFonts w:ascii="Open Sans" w:hAnsi="Open Sans" w:cs="Open Sans"/>
          <w:lang w:val="en-US"/>
        </w:rPr>
        <w:t>women had o</w:t>
      </w:r>
      <w:r w:rsidR="00F26558" w:rsidRPr="00D651DC">
        <w:rPr>
          <w:rFonts w:ascii="Open Sans" w:hAnsi="Open Sans" w:cs="Open Sans"/>
          <w:lang w:val="en-US"/>
        </w:rPr>
        <w:t>ther circumstances or support needs that acted as a bar</w:t>
      </w:r>
      <w:r w:rsidRPr="00D651DC">
        <w:rPr>
          <w:rFonts w:ascii="Open Sans" w:hAnsi="Open Sans" w:cs="Open Sans"/>
          <w:lang w:val="en-US"/>
        </w:rPr>
        <w:t>rier to getting a refuge space</w:t>
      </w:r>
    </w:p>
    <w:p w14:paraId="1A9C2B53" w14:textId="7E07B226" w:rsidR="00CE5B23" w:rsidRDefault="00CE5B23" w:rsidP="007E72F1">
      <w:pPr>
        <w:rPr>
          <w:rFonts w:ascii="Open Sans" w:hAnsi="Open Sans" w:cs="Open Sans"/>
          <w:lang w:val="en-US"/>
        </w:rPr>
      </w:pPr>
      <w:r>
        <w:rPr>
          <w:rFonts w:ascii="Open Sans" w:hAnsi="Open Sans" w:cs="Open Sans"/>
          <w:lang w:val="en-US"/>
        </w:rPr>
        <w:t>End of table data.</w:t>
      </w:r>
      <w:r w:rsidR="00F26558" w:rsidRPr="00493AC6">
        <w:rPr>
          <w:rFonts w:ascii="Open Sans" w:hAnsi="Open Sans" w:cs="Open Sans"/>
          <w:lang w:val="en-US"/>
        </w:rPr>
        <w:tab/>
      </w:r>
    </w:p>
    <w:p w14:paraId="084A5EEF" w14:textId="77777777" w:rsidR="00642299" w:rsidRDefault="00642299" w:rsidP="007E72F1">
      <w:pPr>
        <w:rPr>
          <w:rFonts w:ascii="Open Sans" w:hAnsi="Open Sans" w:cs="Open Sans"/>
          <w:lang w:val="en-US"/>
        </w:rPr>
      </w:pPr>
    </w:p>
    <w:p w14:paraId="249E981C" w14:textId="3BF7559D" w:rsidR="005D5124" w:rsidRPr="00CE5B23" w:rsidRDefault="005D5124" w:rsidP="007E72F1">
      <w:pPr>
        <w:rPr>
          <w:rFonts w:ascii="Open Sans" w:hAnsi="Open Sans" w:cs="Open Sans"/>
        </w:rPr>
      </w:pPr>
      <w:r w:rsidRPr="00493AC6">
        <w:rPr>
          <w:rFonts w:ascii="Open Sans" w:hAnsi="Open Sans" w:cs="Open Sans"/>
          <w:lang w:val="en-US"/>
        </w:rPr>
        <w:t xml:space="preserve">There is a slight deviation from previous years, with fewer women being tied to their local area. However, </w:t>
      </w:r>
      <w:r w:rsidR="00E05C6A" w:rsidRPr="00493AC6">
        <w:rPr>
          <w:rFonts w:ascii="Open Sans" w:hAnsi="Open Sans" w:cs="Open Sans"/>
          <w:lang w:val="en-US"/>
        </w:rPr>
        <w:t xml:space="preserve">finding services that were resourced to meet support needs related to mental health and disability, or could accept referrals from women with </w:t>
      </w:r>
      <w:r w:rsidR="002E1EED" w:rsidRPr="00493AC6">
        <w:rPr>
          <w:rFonts w:ascii="Open Sans" w:hAnsi="Open Sans" w:cs="Open Sans"/>
          <w:lang w:val="en-US"/>
        </w:rPr>
        <w:t>No Recourse to P</w:t>
      </w:r>
      <w:r w:rsidRPr="00493AC6">
        <w:rPr>
          <w:rFonts w:ascii="Open Sans" w:hAnsi="Open Sans" w:cs="Open Sans"/>
          <w:lang w:val="en-US"/>
        </w:rPr>
        <w:t xml:space="preserve">ublic </w:t>
      </w:r>
      <w:r w:rsidR="002E1EED" w:rsidRPr="00493AC6">
        <w:rPr>
          <w:rFonts w:ascii="Open Sans" w:hAnsi="Open Sans" w:cs="Open Sans"/>
          <w:lang w:val="en-US"/>
        </w:rPr>
        <w:t>F</w:t>
      </w:r>
      <w:r w:rsidR="00967A18" w:rsidRPr="00493AC6">
        <w:rPr>
          <w:rFonts w:ascii="Open Sans" w:hAnsi="Open Sans" w:cs="Open Sans"/>
          <w:lang w:val="en-US"/>
        </w:rPr>
        <w:t>unds continue</w:t>
      </w:r>
      <w:r w:rsidRPr="00493AC6">
        <w:rPr>
          <w:rFonts w:ascii="Open Sans" w:hAnsi="Open Sans" w:cs="Open Sans"/>
          <w:lang w:val="en-US"/>
        </w:rPr>
        <w:t xml:space="preserve"> to be some of the most common challenges for women seeking a refuge space. </w:t>
      </w:r>
      <w:r w:rsidR="00763E46" w:rsidRPr="00493AC6">
        <w:rPr>
          <w:rFonts w:ascii="Open Sans" w:hAnsi="Open Sans" w:cs="Open Sans"/>
          <w:lang w:val="en-US"/>
        </w:rPr>
        <w:t xml:space="preserve">In previous years we have distinguished between drug and alcohol support needs, although there is often a crossover with these; with many survivors requiring support with both. For this reason, we have presented them together </w:t>
      </w:r>
      <w:r w:rsidR="00763E46" w:rsidRPr="00493AC6">
        <w:rPr>
          <w:rFonts w:ascii="Open Sans" w:hAnsi="Open Sans" w:cs="Open Sans"/>
          <w:lang w:val="en-US"/>
        </w:rPr>
        <w:lastRenderedPageBreak/>
        <w:t xml:space="preserve">this year, however, </w:t>
      </w:r>
      <w:r w:rsidR="00533E57" w:rsidRPr="00493AC6">
        <w:rPr>
          <w:rFonts w:ascii="Open Sans" w:hAnsi="Open Sans" w:cs="Open Sans"/>
          <w:lang w:val="en-US"/>
        </w:rPr>
        <w:t xml:space="preserve">it is worth noting that </w:t>
      </w:r>
      <w:r w:rsidR="00763E46" w:rsidRPr="00493AC6">
        <w:rPr>
          <w:rFonts w:ascii="Open Sans" w:hAnsi="Open Sans" w:cs="Open Sans"/>
          <w:lang w:val="en-US"/>
        </w:rPr>
        <w:t>there are occasional differences in refuges acceptance criteria when it comes to alcohol and drugs.</w:t>
      </w:r>
      <w:r w:rsidR="00763E46" w:rsidRPr="00493AC6">
        <w:rPr>
          <w:rFonts w:ascii="Open Sans" w:hAnsi="Open Sans" w:cs="Open Sans"/>
          <w:vertAlign w:val="superscript"/>
          <w:lang w:val="en-US"/>
        </w:rPr>
        <w:footnoteReference w:id="19"/>
      </w:r>
      <w:r w:rsidRPr="00493AC6">
        <w:rPr>
          <w:rFonts w:ascii="Open Sans" w:hAnsi="Open Sans" w:cs="Open Sans"/>
          <w:lang w:val="en-US"/>
        </w:rPr>
        <w:t xml:space="preserve"> </w:t>
      </w:r>
    </w:p>
    <w:p w14:paraId="3614A0A7" w14:textId="0A1D6B43" w:rsidR="00C752B8" w:rsidRPr="00493AC6" w:rsidRDefault="00E71B8A" w:rsidP="007E72F1">
      <w:pPr>
        <w:rPr>
          <w:rFonts w:ascii="Open Sans" w:hAnsi="Open Sans" w:cs="Open Sans"/>
          <w:lang w:val="en-US"/>
        </w:rPr>
      </w:pPr>
      <w:r w:rsidRPr="00493AC6">
        <w:rPr>
          <w:rFonts w:ascii="Open Sans" w:hAnsi="Open Sans" w:cs="Open Sans"/>
          <w:lang w:val="en-US"/>
        </w:rPr>
        <w:t>As demonstrated in this year’s Annual Audit, specialist provision for survivors facing these barriers tends to be very limited. For example, we found only three refuge services in total that are run exclusively for women with support needs around substance misuse or mental health</w:t>
      </w:r>
      <w:r w:rsidR="00954B65" w:rsidRPr="00493AC6">
        <w:rPr>
          <w:rFonts w:ascii="Open Sans" w:hAnsi="Open Sans" w:cs="Open Sans"/>
          <w:lang w:val="en-US"/>
        </w:rPr>
        <w:t>. In addition to t</w:t>
      </w:r>
      <w:r w:rsidR="00841673" w:rsidRPr="00493AC6">
        <w:rPr>
          <w:rFonts w:ascii="Open Sans" w:hAnsi="Open Sans" w:cs="Open Sans"/>
          <w:lang w:val="en-US"/>
        </w:rPr>
        <w:t>his, only 15.3% of vacancies posted on Routes to Support were available to a woman plus three children, and only 1.2% of spaces to women with limited mobility</w:t>
      </w:r>
      <w:r w:rsidRPr="00493AC6">
        <w:rPr>
          <w:rFonts w:ascii="Open Sans" w:hAnsi="Open Sans" w:cs="Open Sans"/>
          <w:lang w:val="en-US"/>
        </w:rPr>
        <w:t xml:space="preserve"> (Women’s Aid, 2022b).</w:t>
      </w:r>
    </w:p>
    <w:p w14:paraId="5063EEF9" w14:textId="77777777" w:rsidR="00F109DD" w:rsidRPr="00493AC6" w:rsidRDefault="00F109DD" w:rsidP="007E72F1">
      <w:pPr>
        <w:rPr>
          <w:rFonts w:ascii="Open Sans" w:hAnsi="Open Sans" w:cs="Open Sans"/>
          <w:lang w:val="en-US"/>
        </w:rPr>
      </w:pPr>
    </w:p>
    <w:p w14:paraId="24D3AB2A" w14:textId="77777777" w:rsidR="00C752B8" w:rsidRPr="00493AC6" w:rsidRDefault="00C752B8" w:rsidP="007E72F1">
      <w:pPr>
        <w:pStyle w:val="Heading2"/>
        <w:rPr>
          <w:lang w:val="en-US"/>
        </w:rPr>
      </w:pPr>
      <w:bookmarkStart w:id="29" w:name="_Toc104535754"/>
      <w:r w:rsidRPr="00493AC6">
        <w:rPr>
          <w:lang w:val="en-US"/>
        </w:rPr>
        <w:t>No Recourse to Public Funds</w:t>
      </w:r>
      <w:bookmarkEnd w:id="29"/>
    </w:p>
    <w:p w14:paraId="675A2287" w14:textId="06C51BA4" w:rsidR="00DA7D36" w:rsidRPr="00493AC6" w:rsidRDefault="00E32541" w:rsidP="007E72F1">
      <w:pPr>
        <w:rPr>
          <w:rFonts w:ascii="Open Sans" w:hAnsi="Open Sans" w:cs="Open Sans"/>
          <w:lang w:val="en-US"/>
        </w:rPr>
      </w:pPr>
      <w:r w:rsidRPr="00493AC6">
        <w:rPr>
          <w:rFonts w:ascii="Open Sans" w:hAnsi="Open Sans" w:cs="Open Sans"/>
          <w:lang w:val="en-US"/>
        </w:rPr>
        <w:t xml:space="preserve">With regards to </w:t>
      </w:r>
      <w:r w:rsidR="00FD24EF" w:rsidRPr="00493AC6">
        <w:rPr>
          <w:rFonts w:ascii="Open Sans" w:hAnsi="Open Sans" w:cs="Open Sans"/>
          <w:lang w:val="en-US"/>
        </w:rPr>
        <w:t>No Recourse to Public Funds (</w:t>
      </w:r>
      <w:r w:rsidR="002F67FC" w:rsidRPr="00493AC6">
        <w:rPr>
          <w:rFonts w:ascii="Open Sans" w:hAnsi="Open Sans" w:cs="Open Sans"/>
          <w:lang w:val="en-US"/>
        </w:rPr>
        <w:t>NRPF</w:t>
      </w:r>
      <w:r w:rsidR="00FD24EF" w:rsidRPr="00493AC6">
        <w:rPr>
          <w:rFonts w:ascii="Open Sans" w:hAnsi="Open Sans" w:cs="Open Sans"/>
          <w:lang w:val="en-US"/>
        </w:rPr>
        <w:t>)</w:t>
      </w:r>
      <w:r w:rsidR="00454BFF" w:rsidRPr="00493AC6">
        <w:rPr>
          <w:rFonts w:ascii="Open Sans" w:hAnsi="Open Sans" w:cs="Open Sans"/>
          <w:lang w:val="en-US"/>
        </w:rPr>
        <w:t>,</w:t>
      </w:r>
      <w:r w:rsidRPr="00493AC6">
        <w:rPr>
          <w:rFonts w:ascii="Open Sans" w:hAnsi="Open Sans" w:cs="Open Sans"/>
          <w:lang w:val="en-US"/>
        </w:rPr>
        <w:t xml:space="preserve"> t</w:t>
      </w:r>
      <w:r w:rsidR="00D778BD" w:rsidRPr="00493AC6">
        <w:rPr>
          <w:rFonts w:ascii="Open Sans" w:hAnsi="Open Sans" w:cs="Open Sans"/>
          <w:lang w:val="en-US"/>
        </w:rPr>
        <w:t xml:space="preserve">here </w:t>
      </w:r>
      <w:r w:rsidR="002F67FC" w:rsidRPr="00493AC6">
        <w:rPr>
          <w:rFonts w:ascii="Open Sans" w:hAnsi="Open Sans" w:cs="Open Sans"/>
          <w:lang w:val="en-US"/>
        </w:rPr>
        <w:t>appears to be</w:t>
      </w:r>
      <w:r w:rsidR="00D778BD" w:rsidRPr="00493AC6">
        <w:rPr>
          <w:rFonts w:ascii="Open Sans" w:hAnsi="Open Sans" w:cs="Open Sans"/>
          <w:lang w:val="en-US"/>
        </w:rPr>
        <w:t xml:space="preserve"> confusion</w:t>
      </w:r>
      <w:r w:rsidR="00466A10" w:rsidRPr="00493AC6">
        <w:rPr>
          <w:rFonts w:ascii="Open Sans" w:hAnsi="Open Sans" w:cs="Open Sans"/>
          <w:lang w:val="en-US"/>
        </w:rPr>
        <w:t xml:space="preserve"> amongst professionals</w:t>
      </w:r>
      <w:r w:rsidR="00D778BD" w:rsidRPr="00493AC6">
        <w:rPr>
          <w:rFonts w:ascii="Open Sans" w:hAnsi="Open Sans" w:cs="Open Sans"/>
          <w:lang w:val="en-US"/>
        </w:rPr>
        <w:t xml:space="preserve"> </w:t>
      </w:r>
      <w:r w:rsidR="002F67FC" w:rsidRPr="00493AC6">
        <w:rPr>
          <w:rFonts w:ascii="Open Sans" w:hAnsi="Open Sans" w:cs="Open Sans"/>
          <w:lang w:val="en-US"/>
        </w:rPr>
        <w:t>regarding</w:t>
      </w:r>
      <w:r w:rsidR="00D778BD" w:rsidRPr="00493AC6">
        <w:rPr>
          <w:rFonts w:ascii="Open Sans" w:hAnsi="Open Sans" w:cs="Open Sans"/>
          <w:lang w:val="en-US"/>
        </w:rPr>
        <w:t xml:space="preserve"> who is and isn’t entitled to benefits. In fact, t</w:t>
      </w:r>
      <w:r w:rsidR="003C0B67" w:rsidRPr="00493AC6">
        <w:rPr>
          <w:rFonts w:ascii="Open Sans" w:hAnsi="Open Sans" w:cs="Open Sans"/>
          <w:lang w:val="en-US"/>
        </w:rPr>
        <w:t xml:space="preserve">wo </w:t>
      </w:r>
      <w:r w:rsidR="00D778BD" w:rsidRPr="00493AC6">
        <w:rPr>
          <w:rFonts w:ascii="Open Sans" w:hAnsi="Open Sans" w:cs="Open Sans"/>
          <w:lang w:val="en-US"/>
        </w:rPr>
        <w:t xml:space="preserve">of the </w:t>
      </w:r>
      <w:r w:rsidR="003C0B67" w:rsidRPr="00493AC6">
        <w:rPr>
          <w:rFonts w:ascii="Open Sans" w:hAnsi="Open Sans" w:cs="Open Sans"/>
          <w:lang w:val="en-US"/>
        </w:rPr>
        <w:t>women</w:t>
      </w:r>
      <w:r w:rsidR="00D778BD" w:rsidRPr="00493AC6">
        <w:rPr>
          <w:rFonts w:ascii="Open Sans" w:hAnsi="Open Sans" w:cs="Open Sans"/>
          <w:lang w:val="en-US"/>
        </w:rPr>
        <w:t xml:space="preserve"> supported by the project, who were </w:t>
      </w:r>
      <w:r w:rsidR="003C0B67" w:rsidRPr="00493AC6">
        <w:rPr>
          <w:rFonts w:ascii="Open Sans" w:hAnsi="Open Sans" w:cs="Open Sans"/>
          <w:lang w:val="en-US"/>
        </w:rPr>
        <w:t xml:space="preserve">referred on the basis of </w:t>
      </w:r>
      <w:r w:rsidR="0021777C" w:rsidRPr="00493AC6">
        <w:rPr>
          <w:rFonts w:ascii="Open Sans" w:hAnsi="Open Sans" w:cs="Open Sans"/>
          <w:lang w:val="en-US"/>
        </w:rPr>
        <w:t xml:space="preserve">challenges related to them having </w:t>
      </w:r>
      <w:r w:rsidR="002F67FC" w:rsidRPr="00493AC6">
        <w:rPr>
          <w:rFonts w:ascii="Open Sans" w:hAnsi="Open Sans" w:cs="Open Sans"/>
          <w:lang w:val="en-US"/>
        </w:rPr>
        <w:t>NRPF</w:t>
      </w:r>
      <w:r w:rsidR="00230A11" w:rsidRPr="00493AC6">
        <w:rPr>
          <w:rFonts w:ascii="Open Sans" w:hAnsi="Open Sans" w:cs="Open Sans"/>
          <w:lang w:val="en-US"/>
        </w:rPr>
        <w:t>,</w:t>
      </w:r>
      <w:r w:rsidR="003C0B67" w:rsidRPr="00493AC6">
        <w:rPr>
          <w:rFonts w:ascii="Open Sans" w:hAnsi="Open Sans" w:cs="Open Sans"/>
          <w:lang w:val="en-US"/>
        </w:rPr>
        <w:t xml:space="preserve"> </w:t>
      </w:r>
      <w:r w:rsidRPr="00493AC6">
        <w:rPr>
          <w:rFonts w:ascii="Open Sans" w:hAnsi="Open Sans" w:cs="Open Sans"/>
          <w:lang w:val="en-US"/>
        </w:rPr>
        <w:t xml:space="preserve">were </w:t>
      </w:r>
      <w:r w:rsidR="00545C47" w:rsidRPr="00493AC6">
        <w:rPr>
          <w:rFonts w:ascii="Open Sans" w:hAnsi="Open Sans" w:cs="Open Sans"/>
          <w:lang w:val="en-US"/>
        </w:rPr>
        <w:t xml:space="preserve">subsequently </w:t>
      </w:r>
      <w:r w:rsidRPr="00493AC6">
        <w:rPr>
          <w:rFonts w:ascii="Open Sans" w:hAnsi="Open Sans" w:cs="Open Sans"/>
          <w:lang w:val="en-US"/>
        </w:rPr>
        <w:t>found by the NWTA caseworkers</w:t>
      </w:r>
      <w:r w:rsidR="003C0B67" w:rsidRPr="00493AC6">
        <w:rPr>
          <w:rFonts w:ascii="Open Sans" w:hAnsi="Open Sans" w:cs="Open Sans"/>
          <w:lang w:val="en-US"/>
        </w:rPr>
        <w:t xml:space="preserve"> </w:t>
      </w:r>
      <w:r w:rsidR="002F67FC" w:rsidRPr="00493AC6">
        <w:rPr>
          <w:rFonts w:ascii="Open Sans" w:hAnsi="Open Sans" w:cs="Open Sans"/>
          <w:lang w:val="en-US"/>
        </w:rPr>
        <w:t>to</w:t>
      </w:r>
      <w:r w:rsidR="00230A11" w:rsidRPr="00493AC6">
        <w:rPr>
          <w:rFonts w:ascii="Open Sans" w:hAnsi="Open Sans" w:cs="Open Sans"/>
          <w:lang w:val="en-US"/>
        </w:rPr>
        <w:t xml:space="preserve"> </w:t>
      </w:r>
      <w:r w:rsidR="007C07A2" w:rsidRPr="00493AC6">
        <w:rPr>
          <w:rFonts w:ascii="Open Sans" w:hAnsi="Open Sans" w:cs="Open Sans"/>
          <w:lang w:val="en-US"/>
        </w:rPr>
        <w:t xml:space="preserve">actually </w:t>
      </w:r>
      <w:r w:rsidR="002F67FC" w:rsidRPr="00493AC6">
        <w:rPr>
          <w:rFonts w:ascii="Open Sans" w:hAnsi="Open Sans" w:cs="Open Sans"/>
          <w:lang w:val="en-US"/>
        </w:rPr>
        <w:t xml:space="preserve">be </w:t>
      </w:r>
      <w:r w:rsidR="00230A11" w:rsidRPr="00493AC6">
        <w:rPr>
          <w:rFonts w:ascii="Open Sans" w:hAnsi="Open Sans" w:cs="Open Sans"/>
          <w:lang w:val="en-US"/>
        </w:rPr>
        <w:t>entitled to claim benefits.</w:t>
      </w:r>
      <w:r w:rsidR="00AA2481" w:rsidRPr="00493AC6">
        <w:rPr>
          <w:rFonts w:ascii="Open Sans" w:hAnsi="Open Sans" w:cs="Open Sans"/>
          <w:lang w:val="en-US"/>
        </w:rPr>
        <w:t xml:space="preserve"> </w:t>
      </w:r>
      <w:r w:rsidR="00955520" w:rsidRPr="00493AC6">
        <w:rPr>
          <w:rFonts w:ascii="Open Sans" w:hAnsi="Open Sans" w:cs="Open Sans"/>
          <w:lang w:val="en-US"/>
        </w:rPr>
        <w:t xml:space="preserve">Along with this there were also a number of cases where it was still unclear as to whether the survivor was entitled to benefits when the case </w:t>
      </w:r>
      <w:r w:rsidR="00545C47" w:rsidRPr="00493AC6">
        <w:rPr>
          <w:rFonts w:ascii="Open Sans" w:hAnsi="Open Sans" w:cs="Open Sans"/>
          <w:lang w:val="en-US"/>
        </w:rPr>
        <w:t xml:space="preserve">with NWTA </w:t>
      </w:r>
      <w:r w:rsidR="00955520" w:rsidRPr="00493AC6">
        <w:rPr>
          <w:rFonts w:ascii="Open Sans" w:hAnsi="Open Sans" w:cs="Open Sans"/>
          <w:lang w:val="en-US"/>
        </w:rPr>
        <w:t xml:space="preserve">was closed </w:t>
      </w:r>
      <w:r w:rsidR="00454BFF" w:rsidRPr="00493AC6">
        <w:rPr>
          <w:rFonts w:ascii="Open Sans" w:hAnsi="Open Sans" w:cs="Open Sans"/>
          <w:lang w:val="en-US"/>
        </w:rPr>
        <w:t>e</w:t>
      </w:r>
      <w:r w:rsidR="00955520" w:rsidRPr="00493AC6">
        <w:rPr>
          <w:rFonts w:ascii="Open Sans" w:hAnsi="Open Sans" w:cs="Open Sans"/>
          <w:lang w:val="en-US"/>
        </w:rPr>
        <w:t>.</w:t>
      </w:r>
      <w:r w:rsidR="00454BFF" w:rsidRPr="00493AC6">
        <w:rPr>
          <w:rFonts w:ascii="Open Sans" w:hAnsi="Open Sans" w:cs="Open Sans"/>
          <w:lang w:val="en-US"/>
        </w:rPr>
        <w:t>g.</w:t>
      </w:r>
      <w:r w:rsidR="00955520" w:rsidRPr="00493AC6">
        <w:rPr>
          <w:rFonts w:ascii="Open Sans" w:hAnsi="Open Sans" w:cs="Open Sans"/>
          <w:lang w:val="en-US"/>
        </w:rPr>
        <w:t xml:space="preserve"> when the case was closed because the caseworker was no </w:t>
      </w:r>
      <w:r w:rsidR="00955520" w:rsidRPr="00493AC6">
        <w:rPr>
          <w:rFonts w:ascii="Open Sans" w:hAnsi="Open Sans" w:cs="Open Sans"/>
          <w:lang w:val="en-US"/>
        </w:rPr>
        <w:lastRenderedPageBreak/>
        <w:t xml:space="preserve">longer able to contact the survivor. </w:t>
      </w:r>
      <w:r w:rsidR="00DA7D36" w:rsidRPr="00493AC6">
        <w:rPr>
          <w:rFonts w:ascii="Open Sans" w:hAnsi="Open Sans" w:cs="Open Sans"/>
          <w:lang w:val="en-US"/>
        </w:rPr>
        <w:t xml:space="preserve">Therefore, it might be that more than two of </w:t>
      </w:r>
      <w:r w:rsidR="00BB4707" w:rsidRPr="00493AC6">
        <w:rPr>
          <w:rFonts w:ascii="Open Sans" w:hAnsi="Open Sans" w:cs="Open Sans"/>
          <w:lang w:val="en-US"/>
        </w:rPr>
        <w:t>the 63</w:t>
      </w:r>
      <w:r w:rsidR="00DA7D36" w:rsidRPr="00493AC6">
        <w:rPr>
          <w:rFonts w:ascii="Open Sans" w:hAnsi="Open Sans" w:cs="Open Sans"/>
          <w:lang w:val="en-US"/>
        </w:rPr>
        <w:t xml:space="preserve"> women who were referred on the basis of NRPF were actually </w:t>
      </w:r>
      <w:r w:rsidR="009D6F76" w:rsidRPr="00493AC6">
        <w:rPr>
          <w:rFonts w:ascii="Open Sans" w:hAnsi="Open Sans" w:cs="Open Sans"/>
          <w:lang w:val="en-US"/>
        </w:rPr>
        <w:t>entitled to claim benefits.</w:t>
      </w:r>
    </w:p>
    <w:p w14:paraId="07EB7EB2" w14:textId="01BFE1B5" w:rsidR="003B6F12" w:rsidRPr="00493AC6" w:rsidRDefault="00955520" w:rsidP="007E72F1">
      <w:pPr>
        <w:rPr>
          <w:rFonts w:ascii="Open Sans" w:hAnsi="Open Sans" w:cs="Open Sans"/>
        </w:rPr>
      </w:pPr>
      <w:r w:rsidRPr="00493AC6">
        <w:rPr>
          <w:rFonts w:ascii="Open Sans" w:hAnsi="Open Sans" w:cs="Open Sans"/>
          <w:lang w:val="en-US"/>
        </w:rPr>
        <w:t xml:space="preserve">For the two women who were incorrectly referred </w:t>
      </w:r>
      <w:r w:rsidR="00480B65" w:rsidRPr="00493AC6">
        <w:rPr>
          <w:rFonts w:ascii="Open Sans" w:hAnsi="Open Sans" w:cs="Open Sans"/>
          <w:lang w:val="en-US"/>
        </w:rPr>
        <w:t xml:space="preserve">to the project </w:t>
      </w:r>
      <w:r w:rsidRPr="00493AC6">
        <w:rPr>
          <w:rFonts w:ascii="Open Sans" w:hAnsi="Open Sans" w:cs="Open Sans"/>
          <w:lang w:val="en-US"/>
        </w:rPr>
        <w:t>on the basis of NRPF, o</w:t>
      </w:r>
      <w:r w:rsidR="00466A10" w:rsidRPr="00493AC6">
        <w:rPr>
          <w:rFonts w:ascii="Open Sans" w:hAnsi="Open Sans" w:cs="Open Sans"/>
        </w:rPr>
        <w:t xml:space="preserve">ne </w:t>
      </w:r>
      <w:r w:rsidR="0059433F" w:rsidRPr="00493AC6">
        <w:rPr>
          <w:rFonts w:ascii="Open Sans" w:hAnsi="Open Sans" w:cs="Open Sans"/>
        </w:rPr>
        <w:t>had been</w:t>
      </w:r>
      <w:r w:rsidR="00466A10" w:rsidRPr="00493AC6">
        <w:rPr>
          <w:rFonts w:ascii="Open Sans" w:hAnsi="Open Sans" w:cs="Open Sans"/>
        </w:rPr>
        <w:t xml:space="preserve"> told by </w:t>
      </w:r>
      <w:r w:rsidR="0059433F" w:rsidRPr="00493AC6">
        <w:rPr>
          <w:rFonts w:ascii="Open Sans" w:hAnsi="Open Sans" w:cs="Open Sans"/>
        </w:rPr>
        <w:t xml:space="preserve">many </w:t>
      </w:r>
      <w:r w:rsidR="00466A10" w:rsidRPr="00493AC6">
        <w:rPr>
          <w:rFonts w:ascii="Open Sans" w:hAnsi="Open Sans" w:cs="Open Sans"/>
        </w:rPr>
        <w:t>refuges that</w:t>
      </w:r>
      <w:r w:rsidR="0059433F" w:rsidRPr="00493AC6">
        <w:rPr>
          <w:rFonts w:ascii="Open Sans" w:hAnsi="Open Sans" w:cs="Open Sans"/>
        </w:rPr>
        <w:t xml:space="preserve"> they could not support her due to her not being</w:t>
      </w:r>
      <w:r w:rsidR="00466A10" w:rsidRPr="00493AC6">
        <w:rPr>
          <w:rFonts w:ascii="Open Sans" w:hAnsi="Open Sans" w:cs="Open Sans"/>
        </w:rPr>
        <w:t xml:space="preserve"> entitled </w:t>
      </w:r>
      <w:r w:rsidR="0059433F" w:rsidRPr="00493AC6">
        <w:rPr>
          <w:rFonts w:ascii="Open Sans" w:hAnsi="Open Sans" w:cs="Open Sans"/>
        </w:rPr>
        <w:t xml:space="preserve">to benefits </w:t>
      </w:r>
      <w:r w:rsidR="00466A10" w:rsidRPr="00493AC6">
        <w:rPr>
          <w:rFonts w:ascii="Open Sans" w:hAnsi="Open Sans" w:cs="Open Sans"/>
        </w:rPr>
        <w:t xml:space="preserve">before being referred to NWTA, and </w:t>
      </w:r>
      <w:r w:rsidR="00480B65" w:rsidRPr="00493AC6">
        <w:rPr>
          <w:rFonts w:ascii="Open Sans" w:hAnsi="Open Sans" w:cs="Open Sans"/>
        </w:rPr>
        <w:t xml:space="preserve">as a result had given </w:t>
      </w:r>
      <w:r w:rsidR="00466A10" w:rsidRPr="00493AC6">
        <w:rPr>
          <w:rFonts w:ascii="Open Sans" w:hAnsi="Open Sans" w:cs="Open Sans"/>
        </w:rPr>
        <w:t xml:space="preserve">up on the search and </w:t>
      </w:r>
      <w:r w:rsidR="00480B65" w:rsidRPr="00493AC6">
        <w:rPr>
          <w:rFonts w:ascii="Open Sans" w:hAnsi="Open Sans" w:cs="Open Sans"/>
        </w:rPr>
        <w:t>felt forced to stay</w:t>
      </w:r>
      <w:r w:rsidR="00466A10" w:rsidRPr="00493AC6">
        <w:rPr>
          <w:rFonts w:ascii="Open Sans" w:hAnsi="Open Sans" w:cs="Open Sans"/>
        </w:rPr>
        <w:t xml:space="preserve"> with the perpetrator. The other was safely accommodated in a suitable refuge in a matter of days after </w:t>
      </w:r>
      <w:r w:rsidR="005C41A8" w:rsidRPr="00493AC6">
        <w:rPr>
          <w:rFonts w:ascii="Open Sans" w:hAnsi="Open Sans" w:cs="Open Sans"/>
        </w:rPr>
        <w:t xml:space="preserve">positive </w:t>
      </w:r>
      <w:r w:rsidR="00466A10" w:rsidRPr="00493AC6">
        <w:rPr>
          <w:rFonts w:ascii="Open Sans" w:hAnsi="Open Sans" w:cs="Open Sans"/>
        </w:rPr>
        <w:t>multi-agency working between NWTA, the police, and social services.</w:t>
      </w:r>
      <w:r w:rsidR="00046549" w:rsidRPr="00493AC6">
        <w:rPr>
          <w:rFonts w:ascii="Open Sans" w:hAnsi="Open Sans" w:cs="Open Sans"/>
        </w:rPr>
        <w:t xml:space="preserve"> As part of our research, we interviewed an immigration advisor, Cassie, to better understand the confusion around NRPF and the impact this has on survivors.</w:t>
      </w:r>
    </w:p>
    <w:p w14:paraId="70682A7C" w14:textId="77777777" w:rsidR="00F109DD" w:rsidRPr="00493AC6" w:rsidRDefault="00F109DD" w:rsidP="007E72F1">
      <w:pPr>
        <w:rPr>
          <w:rFonts w:ascii="Open Sans" w:hAnsi="Open Sans" w:cs="Open Sans"/>
        </w:rPr>
      </w:pPr>
    </w:p>
    <w:p w14:paraId="6732BD3F" w14:textId="4DA4A2D2" w:rsidR="005764A0" w:rsidRPr="00493AC6" w:rsidRDefault="00824797" w:rsidP="007E72F1">
      <w:pPr>
        <w:pStyle w:val="Heading2"/>
      </w:pPr>
      <w:bookmarkStart w:id="30" w:name="_Toc104535755"/>
      <w:r w:rsidRPr="00493AC6">
        <w:t xml:space="preserve">Women from </w:t>
      </w:r>
      <w:r w:rsidR="004E3C3F" w:rsidRPr="00493AC6">
        <w:t>B</w:t>
      </w:r>
      <w:r w:rsidR="000C72E0" w:rsidRPr="00493AC6">
        <w:t>lack and minoritised</w:t>
      </w:r>
      <w:r w:rsidR="004E3C3F" w:rsidRPr="00493AC6">
        <w:t xml:space="preserve"> </w:t>
      </w:r>
      <w:r w:rsidRPr="00493AC6">
        <w:t>backgrounds</w:t>
      </w:r>
      <w:bookmarkEnd w:id="30"/>
    </w:p>
    <w:p w14:paraId="209310CD" w14:textId="25A7E222" w:rsidR="00236145" w:rsidRPr="00493AC6" w:rsidRDefault="003B6F12" w:rsidP="007E72F1">
      <w:pPr>
        <w:rPr>
          <w:rFonts w:ascii="Open Sans" w:hAnsi="Open Sans" w:cs="Open Sans"/>
          <w:color w:val="B6006C"/>
          <w:sz w:val="26"/>
          <w:szCs w:val="26"/>
        </w:rPr>
      </w:pPr>
      <w:r w:rsidRPr="00493AC6">
        <w:rPr>
          <w:rFonts w:ascii="Open Sans" w:hAnsi="Open Sans" w:cs="Open Sans"/>
        </w:rPr>
        <w:t>W</w:t>
      </w:r>
      <w:r w:rsidR="00824797" w:rsidRPr="00493AC6">
        <w:rPr>
          <w:rFonts w:ascii="Open Sans" w:hAnsi="Open Sans" w:cs="Open Sans"/>
        </w:rPr>
        <w:t>omen from Black and mi</w:t>
      </w:r>
      <w:r w:rsidR="000C72E0" w:rsidRPr="00493AC6">
        <w:rPr>
          <w:rFonts w:ascii="Open Sans" w:hAnsi="Open Sans" w:cs="Open Sans"/>
        </w:rPr>
        <w:t>noritised</w:t>
      </w:r>
      <w:r w:rsidR="00824797" w:rsidRPr="00493AC6">
        <w:rPr>
          <w:rFonts w:ascii="Open Sans" w:hAnsi="Open Sans" w:cs="Open Sans"/>
        </w:rPr>
        <w:t xml:space="preserve"> backgrounds made up </w:t>
      </w:r>
      <w:r w:rsidR="00153136" w:rsidRPr="00493AC6">
        <w:rPr>
          <w:rFonts w:ascii="Open Sans" w:hAnsi="Open Sans" w:cs="Open Sans"/>
        </w:rPr>
        <w:t>34.9%</w:t>
      </w:r>
      <w:r w:rsidRPr="00493AC6">
        <w:rPr>
          <w:rFonts w:ascii="Open Sans" w:hAnsi="Open Sans" w:cs="Open Sans"/>
          <w:sz w:val="20"/>
          <w:vertAlign w:val="superscript"/>
        </w:rPr>
        <w:footnoteReference w:id="20"/>
      </w:r>
      <w:r w:rsidR="00153136" w:rsidRPr="00493AC6">
        <w:rPr>
          <w:rFonts w:ascii="Open Sans" w:hAnsi="Open Sans" w:cs="Open Sans"/>
        </w:rPr>
        <w:t xml:space="preserve"> of survivors supported</w:t>
      </w:r>
      <w:r w:rsidRPr="00493AC6">
        <w:rPr>
          <w:rFonts w:ascii="Open Sans" w:hAnsi="Open Sans" w:cs="Open Sans"/>
        </w:rPr>
        <w:t xml:space="preserve"> this year</w:t>
      </w:r>
      <w:r w:rsidR="00153136" w:rsidRPr="00493AC6">
        <w:rPr>
          <w:rFonts w:ascii="Open Sans" w:hAnsi="Open Sans" w:cs="Open Sans"/>
        </w:rPr>
        <w:t>.</w:t>
      </w:r>
      <w:r w:rsidRPr="00493AC6">
        <w:rPr>
          <w:rStyle w:val="FootnoteReference"/>
          <w:rFonts w:ascii="Open Sans" w:hAnsi="Open Sans" w:cs="Open Sans"/>
          <w:sz w:val="20"/>
        </w:rPr>
        <w:footnoteReference w:id="21"/>
      </w:r>
      <w:r w:rsidRPr="00493AC6">
        <w:rPr>
          <w:rFonts w:ascii="Open Sans" w:hAnsi="Open Sans" w:cs="Open Sans"/>
        </w:rPr>
        <w:t xml:space="preserve"> </w:t>
      </w:r>
      <w:r w:rsidRPr="00493AC6">
        <w:rPr>
          <w:rFonts w:ascii="Open Sans" w:hAnsi="Open Sans" w:cs="Open Sans"/>
          <w:lang w:val="en-US"/>
        </w:rPr>
        <w:t>Although this is a hugely diverse grou</w:t>
      </w:r>
      <w:r w:rsidR="00517E23" w:rsidRPr="00493AC6">
        <w:rPr>
          <w:rFonts w:ascii="Open Sans" w:hAnsi="Open Sans" w:cs="Open Sans"/>
          <w:lang w:val="en-US"/>
        </w:rPr>
        <w:t xml:space="preserve">p of women, this </w:t>
      </w:r>
      <w:r w:rsidR="00A373B7" w:rsidRPr="00493AC6">
        <w:rPr>
          <w:rFonts w:ascii="Open Sans" w:hAnsi="Open Sans" w:cs="Open Sans"/>
          <w:lang w:val="en-US"/>
        </w:rPr>
        <w:t xml:space="preserve">high percentage </w:t>
      </w:r>
      <w:r w:rsidR="00C70EAB" w:rsidRPr="00493AC6">
        <w:rPr>
          <w:rFonts w:ascii="Open Sans" w:hAnsi="Open Sans" w:cs="Open Sans"/>
          <w:lang w:val="en-US"/>
        </w:rPr>
        <w:t>possibly</w:t>
      </w:r>
      <w:r w:rsidR="00517E23" w:rsidRPr="00493AC6">
        <w:rPr>
          <w:rFonts w:ascii="Open Sans" w:hAnsi="Open Sans" w:cs="Open Sans"/>
          <w:lang w:val="en-US"/>
        </w:rPr>
        <w:t xml:space="preserve"> in </w:t>
      </w:r>
      <w:r w:rsidRPr="00493AC6">
        <w:rPr>
          <w:rFonts w:ascii="Open Sans" w:hAnsi="Open Sans" w:cs="Open Sans"/>
          <w:lang w:val="en-US"/>
        </w:rPr>
        <w:t xml:space="preserve">part reflects the systemic racism that Black </w:t>
      </w:r>
      <w:r w:rsidRPr="00493AC6">
        <w:rPr>
          <w:rFonts w:ascii="Open Sans" w:hAnsi="Open Sans" w:cs="Open Sans"/>
        </w:rPr>
        <w:t xml:space="preserve">and minoritised women may face when it </w:t>
      </w:r>
      <w:r w:rsidRPr="00493AC6">
        <w:rPr>
          <w:rFonts w:ascii="Open Sans" w:hAnsi="Open Sans" w:cs="Open Sans"/>
        </w:rPr>
        <w:lastRenderedPageBreak/>
        <w:t>comes to acc</w:t>
      </w:r>
      <w:r w:rsidR="00615320" w:rsidRPr="00493AC6">
        <w:rPr>
          <w:rFonts w:ascii="Open Sans" w:hAnsi="Open Sans" w:cs="Open Sans"/>
        </w:rPr>
        <w:t xml:space="preserve">essing </w:t>
      </w:r>
      <w:r w:rsidRPr="00493AC6">
        <w:rPr>
          <w:rFonts w:ascii="Open Sans" w:hAnsi="Open Sans" w:cs="Open Sans"/>
        </w:rPr>
        <w:t>safety and support from domestic abuse</w:t>
      </w:r>
      <w:r w:rsidR="00236145" w:rsidRPr="00493AC6">
        <w:rPr>
          <w:rFonts w:ascii="Open Sans" w:hAnsi="Open Sans" w:cs="Open Sans"/>
        </w:rPr>
        <w:t>. Th</w:t>
      </w:r>
      <w:r w:rsidR="00C70EAB" w:rsidRPr="00493AC6">
        <w:rPr>
          <w:rFonts w:ascii="Open Sans" w:hAnsi="Open Sans" w:cs="Open Sans"/>
        </w:rPr>
        <w:t>is</w:t>
      </w:r>
      <w:r w:rsidR="00236145" w:rsidRPr="00493AC6">
        <w:rPr>
          <w:rFonts w:ascii="Open Sans" w:hAnsi="Open Sans" w:cs="Open Sans"/>
        </w:rPr>
        <w:t xml:space="preserve"> can be structural inequalities that disproportionately impact Black and minoritised women, such as NRPF</w:t>
      </w:r>
      <w:r w:rsidR="00540957" w:rsidRPr="00493AC6">
        <w:rPr>
          <w:rFonts w:ascii="Open Sans" w:hAnsi="Open Sans" w:cs="Open Sans"/>
        </w:rPr>
        <w:t xml:space="preserve"> (or being presumed to be)</w:t>
      </w:r>
      <w:r w:rsidR="00236145" w:rsidRPr="00493AC6">
        <w:rPr>
          <w:rFonts w:ascii="Open Sans" w:hAnsi="Open Sans" w:cs="Open Sans"/>
        </w:rPr>
        <w:t xml:space="preserve">, as well as </w:t>
      </w:r>
      <w:r w:rsidR="004C3276" w:rsidRPr="00493AC6">
        <w:rPr>
          <w:rFonts w:ascii="Open Sans" w:hAnsi="Open Sans" w:cs="Open Sans"/>
        </w:rPr>
        <w:t>the lack of specialist provision for women with specific religious/ cultural requirements</w:t>
      </w:r>
      <w:r w:rsidR="00517E23" w:rsidRPr="00493AC6">
        <w:rPr>
          <w:rFonts w:ascii="Open Sans" w:hAnsi="Open Sans" w:cs="Open Sans"/>
        </w:rPr>
        <w:t>,</w:t>
      </w:r>
      <w:r w:rsidR="004C3276" w:rsidRPr="00493AC6">
        <w:rPr>
          <w:rStyle w:val="FootnoteReference"/>
          <w:rFonts w:ascii="Open Sans" w:hAnsi="Open Sans" w:cs="Open Sans"/>
          <w:sz w:val="20"/>
        </w:rPr>
        <w:footnoteReference w:id="22"/>
      </w:r>
      <w:r w:rsidR="004C3276" w:rsidRPr="00493AC6">
        <w:rPr>
          <w:rFonts w:ascii="Open Sans" w:hAnsi="Open Sans" w:cs="Open Sans"/>
        </w:rPr>
        <w:t xml:space="preserve"> or language support needs.</w:t>
      </w:r>
    </w:p>
    <w:p w14:paraId="0DCD97E7" w14:textId="4B690325" w:rsidR="004E3C3F" w:rsidRPr="00493AC6" w:rsidRDefault="003B6F12" w:rsidP="007E72F1">
      <w:pPr>
        <w:rPr>
          <w:rFonts w:ascii="Open Sans" w:hAnsi="Open Sans" w:cs="Open Sans"/>
        </w:rPr>
      </w:pPr>
      <w:r w:rsidRPr="00493AC6">
        <w:rPr>
          <w:rFonts w:ascii="Open Sans" w:hAnsi="Open Sans" w:cs="Open Sans"/>
        </w:rPr>
        <w:t>Specialist provision for Black and m</w:t>
      </w:r>
      <w:r w:rsidR="00127CD9" w:rsidRPr="00493AC6">
        <w:rPr>
          <w:rFonts w:ascii="Open Sans" w:hAnsi="Open Sans" w:cs="Open Sans"/>
        </w:rPr>
        <w:t>i</w:t>
      </w:r>
      <w:r w:rsidRPr="00493AC6">
        <w:rPr>
          <w:rFonts w:ascii="Open Sans" w:hAnsi="Open Sans" w:cs="Open Sans"/>
        </w:rPr>
        <w:t xml:space="preserve">noritised women, or </w:t>
      </w:r>
      <w:r w:rsidR="00127CD9" w:rsidRPr="00493AC6">
        <w:rPr>
          <w:rFonts w:ascii="Open Sans" w:hAnsi="Open Sans" w:cs="Open Sans"/>
        </w:rPr>
        <w:t xml:space="preserve">services </w:t>
      </w:r>
      <w:r w:rsidRPr="00493AC6">
        <w:rPr>
          <w:rFonts w:ascii="Open Sans" w:hAnsi="Open Sans" w:cs="Open Sans"/>
        </w:rPr>
        <w:t xml:space="preserve">‘by and for’ </w:t>
      </w:r>
      <w:r w:rsidR="00127CD9" w:rsidRPr="00493AC6">
        <w:rPr>
          <w:rFonts w:ascii="Open Sans" w:hAnsi="Open Sans" w:cs="Open Sans"/>
        </w:rPr>
        <w:t>Black and minoritised survivors</w:t>
      </w:r>
      <w:r w:rsidRPr="00493AC6">
        <w:rPr>
          <w:rFonts w:ascii="Open Sans" w:hAnsi="Open Sans" w:cs="Open Sans"/>
        </w:rPr>
        <w:t xml:space="preserve">, are </w:t>
      </w:r>
      <w:r w:rsidR="00615320" w:rsidRPr="00493AC6">
        <w:rPr>
          <w:rFonts w:ascii="Open Sans" w:hAnsi="Open Sans" w:cs="Open Sans"/>
        </w:rPr>
        <w:t>extremely limited</w:t>
      </w:r>
      <w:r w:rsidRPr="00493AC6">
        <w:rPr>
          <w:rFonts w:ascii="Open Sans" w:hAnsi="Open Sans" w:cs="Open Sans"/>
        </w:rPr>
        <w:t xml:space="preserve"> outside of London</w:t>
      </w:r>
      <w:r w:rsidR="00FA2030" w:rsidRPr="00493AC6">
        <w:rPr>
          <w:rFonts w:ascii="Open Sans" w:hAnsi="Open Sans" w:cs="Open Sans"/>
        </w:rPr>
        <w:t>,</w:t>
      </w:r>
      <w:r w:rsidR="002A51C1" w:rsidRPr="00493AC6">
        <w:rPr>
          <w:rStyle w:val="FootnoteReference"/>
          <w:rFonts w:ascii="Open Sans" w:hAnsi="Open Sans" w:cs="Open Sans"/>
          <w:sz w:val="20"/>
        </w:rPr>
        <w:footnoteReference w:id="23"/>
      </w:r>
      <w:r w:rsidR="00A373B7" w:rsidRPr="00493AC6">
        <w:rPr>
          <w:rFonts w:ascii="Open Sans" w:hAnsi="Open Sans" w:cs="Open Sans"/>
        </w:rPr>
        <w:t xml:space="preserve"> </w:t>
      </w:r>
      <w:r w:rsidR="00FA2030" w:rsidRPr="00493AC6">
        <w:rPr>
          <w:rFonts w:ascii="Open Sans" w:hAnsi="Open Sans" w:cs="Open Sans"/>
        </w:rPr>
        <w:t>and commissioners often fail to recognise the added value and expe</w:t>
      </w:r>
      <w:r w:rsidR="00DB0F7E" w:rsidRPr="00493AC6">
        <w:rPr>
          <w:rFonts w:ascii="Open Sans" w:hAnsi="Open Sans" w:cs="Open Sans"/>
        </w:rPr>
        <w:t>rtise that these services offer</w:t>
      </w:r>
      <w:r w:rsidR="006E2971" w:rsidRPr="00493AC6">
        <w:rPr>
          <w:rFonts w:ascii="Open Sans" w:hAnsi="Open Sans" w:cs="Open Sans"/>
        </w:rPr>
        <w:t xml:space="preserve">. This includes lived experience and in-depth understanding of survivors’ experiences and the barriers to support and justice, </w:t>
      </w:r>
      <w:r w:rsidR="00610C23" w:rsidRPr="00493AC6">
        <w:rPr>
          <w:rFonts w:ascii="Open Sans" w:hAnsi="Open Sans" w:cs="Open Sans"/>
        </w:rPr>
        <w:t xml:space="preserve">in-house interpreters/ translators and knowledge of a broad range of VAWG strands </w:t>
      </w:r>
      <w:r w:rsidR="00FA2030" w:rsidRPr="00493AC6">
        <w:rPr>
          <w:rFonts w:ascii="Open Sans" w:hAnsi="Open Sans" w:cs="Open Sans"/>
        </w:rPr>
        <w:t>(Imkaan, 2018).</w:t>
      </w:r>
      <w:r w:rsidR="00610C23" w:rsidRPr="00493AC6">
        <w:rPr>
          <w:rFonts w:ascii="Open Sans" w:hAnsi="Open Sans" w:cs="Open Sans"/>
        </w:rPr>
        <w:t xml:space="preserve"> Generally,</w:t>
      </w:r>
      <w:r w:rsidRPr="00493AC6">
        <w:rPr>
          <w:rFonts w:ascii="Open Sans" w:hAnsi="Open Sans" w:cs="Open Sans"/>
        </w:rPr>
        <w:t xml:space="preserve"> women from these</w:t>
      </w:r>
      <w:r w:rsidR="00610C23" w:rsidRPr="00493AC6">
        <w:rPr>
          <w:rFonts w:ascii="Open Sans" w:hAnsi="Open Sans" w:cs="Open Sans"/>
        </w:rPr>
        <w:t xml:space="preserve"> Black and minoritised</w:t>
      </w:r>
      <w:r w:rsidRPr="00493AC6">
        <w:rPr>
          <w:rFonts w:ascii="Open Sans" w:hAnsi="Open Sans" w:cs="Open Sans"/>
        </w:rPr>
        <w:t xml:space="preserve"> backgrounds</w:t>
      </w:r>
      <w:r w:rsidR="00610C23" w:rsidRPr="00493AC6">
        <w:rPr>
          <w:rFonts w:ascii="Open Sans" w:hAnsi="Open Sans" w:cs="Open Sans"/>
        </w:rPr>
        <w:t xml:space="preserve"> tend to</w:t>
      </w:r>
      <w:r w:rsidR="007F4463" w:rsidRPr="00493AC6">
        <w:rPr>
          <w:rFonts w:ascii="Open Sans" w:hAnsi="Open Sans" w:cs="Open Sans"/>
        </w:rPr>
        <w:t xml:space="preserve"> </w:t>
      </w:r>
      <w:r w:rsidRPr="00493AC6">
        <w:rPr>
          <w:rFonts w:ascii="Open Sans" w:hAnsi="Open Sans" w:cs="Open Sans"/>
        </w:rPr>
        <w:t>prefer to be supported by these services (Imkaan, 2018).</w:t>
      </w:r>
      <w:r w:rsidR="00517E23" w:rsidRPr="00493AC6">
        <w:rPr>
          <w:rFonts w:ascii="Open Sans" w:hAnsi="Open Sans" w:cs="Open Sans"/>
        </w:rPr>
        <w:t xml:space="preserve"> </w:t>
      </w:r>
      <w:r w:rsidRPr="00493AC6">
        <w:rPr>
          <w:rFonts w:ascii="Open Sans" w:hAnsi="Open Sans" w:cs="Open Sans"/>
        </w:rPr>
        <w:t xml:space="preserve"> </w:t>
      </w:r>
    </w:p>
    <w:p w14:paraId="5E35AEF4" w14:textId="47749261" w:rsidR="0043297D" w:rsidRPr="00493AC6" w:rsidRDefault="00517E23" w:rsidP="007E72F1">
      <w:pPr>
        <w:rPr>
          <w:rFonts w:ascii="Open Sans" w:hAnsi="Open Sans" w:cs="Open Sans"/>
        </w:rPr>
      </w:pPr>
      <w:r w:rsidRPr="00493AC6">
        <w:rPr>
          <w:rFonts w:ascii="Open Sans" w:hAnsi="Open Sans" w:cs="Open Sans"/>
        </w:rPr>
        <w:t>Imkaan views minoritisation as an ongoing, active process which marginalises particular groups on the basis of ‘race’, ethnicity and other grounds (Imkaan, 2018). We know the role that intersecting</w:t>
      </w:r>
      <w:r w:rsidR="00DA27E1" w:rsidRPr="00493AC6">
        <w:rPr>
          <w:rFonts w:ascii="Open Sans" w:hAnsi="Open Sans" w:cs="Open Sans"/>
        </w:rPr>
        <w:t xml:space="preserve"> </w:t>
      </w:r>
      <w:r w:rsidR="00DA27E1" w:rsidRPr="00493AC6">
        <w:rPr>
          <w:rFonts w:ascii="Open Sans" w:hAnsi="Open Sans" w:cs="Open Sans"/>
        </w:rPr>
        <w:lastRenderedPageBreak/>
        <w:t>forms of discrimination</w:t>
      </w:r>
      <w:r w:rsidR="002470FD" w:rsidRPr="00493AC6">
        <w:rPr>
          <w:rFonts w:ascii="Open Sans" w:hAnsi="Open Sans" w:cs="Open Sans"/>
        </w:rPr>
        <w:t xml:space="preserve">, for example, </w:t>
      </w:r>
      <w:r w:rsidRPr="00493AC6">
        <w:rPr>
          <w:rFonts w:ascii="Open Sans" w:hAnsi="Open Sans" w:cs="Open Sans"/>
        </w:rPr>
        <w:t xml:space="preserve">race and sex, can play for female survivors in </w:t>
      </w:r>
      <w:r w:rsidR="00745332" w:rsidRPr="00493AC6">
        <w:rPr>
          <w:rFonts w:ascii="Open Sans" w:hAnsi="Open Sans" w:cs="Open Sans"/>
        </w:rPr>
        <w:t>their experiences of seeking safety from domestic abuse</w:t>
      </w:r>
      <w:r w:rsidR="000D146B" w:rsidRPr="00493AC6">
        <w:rPr>
          <w:rFonts w:ascii="Open Sans" w:hAnsi="Open Sans" w:cs="Open Sans"/>
        </w:rPr>
        <w:t>,</w:t>
      </w:r>
      <w:r w:rsidR="00745332" w:rsidRPr="00493AC6">
        <w:rPr>
          <w:rFonts w:ascii="Open Sans" w:hAnsi="Open Sans" w:cs="Open Sans"/>
        </w:rPr>
        <w:t xml:space="preserve"> as well as in the domestic abuse itself. </w:t>
      </w:r>
      <w:r w:rsidR="000D146B" w:rsidRPr="00493AC6">
        <w:rPr>
          <w:rFonts w:ascii="Open Sans" w:hAnsi="Open Sans" w:cs="Open Sans"/>
        </w:rPr>
        <w:t>This was very much the case for survivor, Kadijah,</w:t>
      </w:r>
      <w:r w:rsidR="00DA27E1" w:rsidRPr="00493AC6">
        <w:rPr>
          <w:rStyle w:val="FootnoteReference"/>
          <w:rFonts w:ascii="Open Sans" w:hAnsi="Open Sans" w:cs="Open Sans"/>
        </w:rPr>
        <w:footnoteReference w:id="24"/>
      </w:r>
      <w:r w:rsidR="00CD58AC" w:rsidRPr="00493AC6">
        <w:rPr>
          <w:rFonts w:ascii="Open Sans" w:hAnsi="Open Sans" w:cs="Open Sans"/>
        </w:rPr>
        <w:t xml:space="preserve"> a survivor we spoke to who had recently been supported by the NWTA project. Kadijah’s</w:t>
      </w:r>
      <w:r w:rsidR="000D146B" w:rsidRPr="00493AC6">
        <w:rPr>
          <w:rFonts w:ascii="Open Sans" w:hAnsi="Open Sans" w:cs="Open Sans"/>
        </w:rPr>
        <w:t xml:space="preserve"> British husband deliberately used her </w:t>
      </w:r>
      <w:r w:rsidR="003E50F5" w:rsidRPr="00493AC6">
        <w:rPr>
          <w:rFonts w:ascii="Open Sans" w:hAnsi="Open Sans" w:cs="Open Sans"/>
        </w:rPr>
        <w:t>n</w:t>
      </w:r>
      <w:r w:rsidR="005A411B" w:rsidRPr="00493AC6">
        <w:rPr>
          <w:rFonts w:ascii="Open Sans" w:hAnsi="Open Sans" w:cs="Open Sans"/>
        </w:rPr>
        <w:t xml:space="preserve">ationality, and her cultural and racial heritage </w:t>
      </w:r>
      <w:r w:rsidR="000D146B" w:rsidRPr="00493AC6">
        <w:rPr>
          <w:rFonts w:ascii="Open Sans" w:hAnsi="Open Sans" w:cs="Open Sans"/>
        </w:rPr>
        <w:t xml:space="preserve">as a way to control and abuse her. </w:t>
      </w:r>
      <w:r w:rsidR="005436A5" w:rsidRPr="00493AC6">
        <w:rPr>
          <w:rFonts w:ascii="Open Sans" w:hAnsi="Open Sans" w:cs="Open Sans"/>
          <w:color w:val="262626" w:themeColor="text1"/>
        </w:rPr>
        <w:t>Unfortunately, Kadijah was let down by multiple statutory services and other places she thought she could turn to for support before being referred to the NWTA project.</w:t>
      </w:r>
      <w:r w:rsidR="009655EA" w:rsidRPr="00493AC6">
        <w:rPr>
          <w:rFonts w:ascii="Open Sans" w:hAnsi="Open Sans" w:cs="Open Sans"/>
          <w:color w:val="262626" w:themeColor="text1"/>
        </w:rPr>
        <w:t xml:space="preserve"> </w:t>
      </w:r>
      <w:r w:rsidR="000D146B" w:rsidRPr="00493AC6">
        <w:rPr>
          <w:rFonts w:ascii="Open Sans" w:hAnsi="Open Sans" w:cs="Open Sans"/>
        </w:rPr>
        <w:t>You can read Kadijah’s story on page</w:t>
      </w:r>
      <w:r w:rsidR="008339E6">
        <w:rPr>
          <w:rFonts w:ascii="Open Sans" w:hAnsi="Open Sans" w:cs="Open Sans"/>
        </w:rPr>
        <w:t xml:space="preserve"> 54</w:t>
      </w:r>
      <w:r w:rsidR="000D146B" w:rsidRPr="00493AC6">
        <w:rPr>
          <w:rFonts w:ascii="Open Sans" w:hAnsi="Open Sans" w:cs="Open Sans"/>
        </w:rPr>
        <w:t>.</w:t>
      </w:r>
      <w:r w:rsidR="00E23800" w:rsidRPr="00493AC6">
        <w:rPr>
          <w:rFonts w:ascii="Open Sans" w:hAnsi="Open Sans" w:cs="Open Sans"/>
        </w:rPr>
        <w:t xml:space="preserve"> </w:t>
      </w:r>
      <w:r w:rsidR="0043297D" w:rsidRPr="00493AC6">
        <w:rPr>
          <w:rFonts w:ascii="Open Sans" w:hAnsi="Open Sans" w:cs="Open Sans"/>
        </w:rPr>
        <w:br w:type="page"/>
      </w:r>
    </w:p>
    <w:p w14:paraId="4C85B682" w14:textId="1A3930A8" w:rsidR="0043297D" w:rsidRPr="00493AC6" w:rsidRDefault="0043297D" w:rsidP="007E72F1">
      <w:pPr>
        <w:pStyle w:val="Heading2"/>
      </w:pPr>
      <w:bookmarkStart w:id="31" w:name="_Toc104535756"/>
      <w:r w:rsidRPr="00493AC6">
        <w:lastRenderedPageBreak/>
        <w:t>An immigration advisor’s stor</w:t>
      </w:r>
      <w:bookmarkEnd w:id="31"/>
      <w:r w:rsidR="008339E6">
        <w:t>y</w:t>
      </w:r>
    </w:p>
    <w:p w14:paraId="40B77A55" w14:textId="41616581" w:rsidR="0043297D" w:rsidRPr="00493AC6" w:rsidRDefault="0043297D" w:rsidP="007E72F1">
      <w:pPr>
        <w:rPr>
          <w:rFonts w:ascii="Open Sans" w:hAnsi="Open Sans" w:cs="Open Sans"/>
        </w:rPr>
      </w:pPr>
      <w:r w:rsidRPr="00493AC6">
        <w:rPr>
          <w:rFonts w:ascii="Open Sans" w:hAnsi="Open Sans" w:cs="Open Sans"/>
        </w:rPr>
        <w:t>Cassie</w:t>
      </w:r>
      <w:r w:rsidR="00587B01" w:rsidRPr="00493AC6">
        <w:rPr>
          <w:rStyle w:val="FootnoteReference"/>
          <w:rFonts w:ascii="Open Sans" w:hAnsi="Open Sans" w:cs="Open Sans"/>
          <w:sz w:val="20"/>
        </w:rPr>
        <w:footnoteReference w:id="25"/>
      </w:r>
      <w:r w:rsidRPr="00493AC6">
        <w:rPr>
          <w:rFonts w:ascii="Open Sans" w:hAnsi="Open Sans" w:cs="Open Sans"/>
        </w:rPr>
        <w:t xml:space="preserve"> works at Women’s Aid part-time delivering training to specialist domestic abuse services, both internally and externally. She also works as an</w:t>
      </w:r>
      <w:r w:rsidR="00FE0782" w:rsidRPr="00493AC6">
        <w:rPr>
          <w:rFonts w:ascii="Open Sans" w:hAnsi="Open Sans" w:cs="Open Sans"/>
        </w:rPr>
        <w:t xml:space="preserve"> Advice Session Supervisor and</w:t>
      </w:r>
      <w:r w:rsidRPr="00493AC6">
        <w:rPr>
          <w:rFonts w:ascii="Open Sans" w:hAnsi="Open Sans" w:cs="Open Sans"/>
        </w:rPr>
        <w:t xml:space="preserve"> Immigration Advisor at a Citizen’s Advice Bureau (CAB), manag</w:t>
      </w:r>
      <w:r w:rsidR="00FE0782" w:rsidRPr="00493AC6">
        <w:rPr>
          <w:rFonts w:ascii="Open Sans" w:hAnsi="Open Sans" w:cs="Open Sans"/>
        </w:rPr>
        <w:t xml:space="preserve">ing a small team of </w:t>
      </w:r>
      <w:r w:rsidRPr="00493AC6">
        <w:rPr>
          <w:rFonts w:ascii="Open Sans" w:hAnsi="Open Sans" w:cs="Open Sans"/>
        </w:rPr>
        <w:t xml:space="preserve">advisors </w:t>
      </w:r>
      <w:r w:rsidR="00FE0782" w:rsidRPr="00493AC6">
        <w:rPr>
          <w:rFonts w:ascii="Open Sans" w:hAnsi="Open Sans" w:cs="Open Sans"/>
        </w:rPr>
        <w:t xml:space="preserve">focusing on immigration work </w:t>
      </w:r>
      <w:r w:rsidRPr="00493AC6">
        <w:rPr>
          <w:rFonts w:ascii="Open Sans" w:hAnsi="Open Sans" w:cs="Open Sans"/>
        </w:rPr>
        <w:t xml:space="preserve">in her local area. </w:t>
      </w:r>
      <w:r w:rsidR="005B0DBA" w:rsidRPr="00493AC6">
        <w:rPr>
          <w:rFonts w:ascii="Open Sans" w:hAnsi="Open Sans" w:cs="Open Sans"/>
        </w:rPr>
        <w:t>In this interview Cassie speaks about her experience of this role at CAB.</w:t>
      </w:r>
    </w:p>
    <w:p w14:paraId="507FEA44" w14:textId="77777777" w:rsidR="00803FA7" w:rsidRPr="00493AC6" w:rsidRDefault="00803FA7" w:rsidP="007E72F1">
      <w:pPr>
        <w:rPr>
          <w:rFonts w:ascii="Open Sans" w:hAnsi="Open Sans" w:cs="Open Sans"/>
        </w:rPr>
      </w:pPr>
    </w:p>
    <w:p w14:paraId="0D2E919F" w14:textId="77777777" w:rsidR="0043297D" w:rsidRPr="00493AC6" w:rsidRDefault="0043297D" w:rsidP="007E72F1">
      <w:pPr>
        <w:pStyle w:val="Heading3"/>
      </w:pPr>
      <w:r w:rsidRPr="00493AC6">
        <w:t>Understanding No Recourse to Public Funds</w:t>
      </w:r>
    </w:p>
    <w:p w14:paraId="4E95269A" w14:textId="18C60552" w:rsidR="0043297D" w:rsidRPr="00493AC6" w:rsidRDefault="0043297D" w:rsidP="007E72F1">
      <w:pPr>
        <w:rPr>
          <w:rFonts w:ascii="Open Sans" w:hAnsi="Open Sans" w:cs="Open Sans"/>
        </w:rPr>
      </w:pPr>
      <w:r w:rsidRPr="00493AC6">
        <w:rPr>
          <w:rFonts w:ascii="Open Sans" w:hAnsi="Open Sans" w:cs="Open Sans"/>
        </w:rPr>
        <w:t>Cassie explained that NRPF is a term that is often incorrectly applied to a wide group of people</w:t>
      </w:r>
      <w:r w:rsidR="00ED1E2D" w:rsidRPr="00493AC6">
        <w:rPr>
          <w:rFonts w:ascii="Open Sans" w:hAnsi="Open Sans" w:cs="Open Sans"/>
        </w:rPr>
        <w:t>.</w:t>
      </w:r>
      <w:r w:rsidRPr="00493AC6">
        <w:rPr>
          <w:rFonts w:ascii="Open Sans" w:hAnsi="Open Sans" w:cs="Open Sans"/>
        </w:rPr>
        <w:t xml:space="preserve"> For instance, it is often applied to a person with pre-settled status who may be able to access benefits if they also have an additional underlying right to reside in the UK, such as their EU citizen spouse being in paid employment. Therefore, Cassie preferred to use the term ‘non-British citizens’ because this encapsulates both survivors with NRPF, along with survivors whose access to benefits is dependent upon other factors. However, Cassie was also keen to get across that accessing benefits can be a problem even for British citizens.</w:t>
      </w:r>
    </w:p>
    <w:p w14:paraId="01ECE3E4" w14:textId="77777777" w:rsidR="0043297D" w:rsidRPr="00493AC6" w:rsidRDefault="0043297D" w:rsidP="007E72F1">
      <w:pPr>
        <w:jc w:val="both"/>
        <w:rPr>
          <w:rFonts w:ascii="Open Sans" w:hAnsi="Open Sans" w:cs="Open Sans"/>
        </w:rPr>
      </w:pPr>
      <w:r w:rsidRPr="00493AC6">
        <w:rPr>
          <w:rFonts w:ascii="Open Sans" w:hAnsi="Open Sans" w:cs="Open Sans"/>
        </w:rPr>
        <w:t xml:space="preserve">“Frankly even if you’re a British citizen if you don’t have a passport, you can’t get access to benefits because you can’t prove your immigration status […] it happens for a lot for women because their partner takes </w:t>
      </w:r>
      <w:r w:rsidRPr="00493AC6">
        <w:rPr>
          <w:rFonts w:ascii="Open Sans" w:hAnsi="Open Sans" w:cs="Open Sans"/>
        </w:rPr>
        <w:lastRenderedPageBreak/>
        <w:t>their papers […] the hostile environment effects anyone who can’t produce a B</w:t>
      </w:r>
      <w:r w:rsidR="009A5ACF" w:rsidRPr="00493AC6">
        <w:rPr>
          <w:rFonts w:ascii="Open Sans" w:hAnsi="Open Sans" w:cs="Open Sans"/>
        </w:rPr>
        <w:t>ritish passport</w:t>
      </w:r>
      <w:r w:rsidRPr="00493AC6">
        <w:rPr>
          <w:rFonts w:ascii="Open Sans" w:hAnsi="Open Sans" w:cs="Open Sans"/>
        </w:rPr>
        <w:t xml:space="preserve">. The DWP </w:t>
      </w:r>
      <w:r w:rsidR="00021D64" w:rsidRPr="00493AC6">
        <w:rPr>
          <w:rFonts w:ascii="Open Sans" w:hAnsi="Open Sans" w:cs="Open Sans"/>
        </w:rPr>
        <w:t xml:space="preserve">[Department for Work and Pensions] </w:t>
      </w:r>
      <w:r w:rsidRPr="00493AC6">
        <w:rPr>
          <w:rFonts w:ascii="Open Sans" w:hAnsi="Open Sans" w:cs="Open Sans"/>
        </w:rPr>
        <w:t>will usually accept expired British passports</w:t>
      </w:r>
      <w:r w:rsidR="00023DB6" w:rsidRPr="00493AC6">
        <w:rPr>
          <w:rFonts w:ascii="Open Sans" w:hAnsi="Open Sans" w:cs="Open Sans"/>
        </w:rPr>
        <w:t>,</w:t>
      </w:r>
      <w:r w:rsidRPr="00493AC6">
        <w:rPr>
          <w:rFonts w:ascii="Open Sans" w:hAnsi="Open Sans" w:cs="Open Sans"/>
        </w:rPr>
        <w:t xml:space="preserve"> but expired passports from other countries, even if the person has an indefinite leave to remain stamp in them, cause</w:t>
      </w:r>
      <w:r w:rsidR="00AC348B" w:rsidRPr="00493AC6">
        <w:rPr>
          <w:rFonts w:ascii="Open Sans" w:hAnsi="Open Sans" w:cs="Open Sans"/>
        </w:rPr>
        <w:t>s</w:t>
      </w:r>
      <w:r w:rsidRPr="00493AC6">
        <w:rPr>
          <w:rFonts w:ascii="Open Sans" w:hAnsi="Open Sans" w:cs="Open Sans"/>
        </w:rPr>
        <w:t xml:space="preserve"> problems.” </w:t>
      </w:r>
    </w:p>
    <w:p w14:paraId="77EF627D" w14:textId="1FFCC33F" w:rsidR="0043297D" w:rsidRPr="00493AC6" w:rsidRDefault="0043297D" w:rsidP="007E72F1">
      <w:pPr>
        <w:rPr>
          <w:rFonts w:ascii="Open Sans" w:hAnsi="Open Sans" w:cs="Open Sans"/>
        </w:rPr>
      </w:pPr>
      <w:r w:rsidRPr="00493AC6">
        <w:rPr>
          <w:rFonts w:ascii="Open Sans" w:hAnsi="Open Sans" w:cs="Open Sans"/>
        </w:rPr>
        <w:t>This was indeed the case for one survivor in our Experiences of financial hardship whilst seeking a refuge report (Women’s Aid, 2022)</w:t>
      </w:r>
      <w:r w:rsidR="008E7B04" w:rsidRPr="00493AC6">
        <w:rPr>
          <w:rFonts w:ascii="Open Sans" w:hAnsi="Open Sans" w:cs="Open Sans"/>
        </w:rPr>
        <w:t>.</w:t>
      </w:r>
      <w:r w:rsidRPr="00493AC6">
        <w:rPr>
          <w:rFonts w:ascii="Open Sans" w:hAnsi="Open Sans" w:cs="Open Sans"/>
        </w:rPr>
        <w:t xml:space="preserve"> </w:t>
      </w:r>
      <w:r w:rsidR="008E7B04" w:rsidRPr="00493AC6">
        <w:rPr>
          <w:rFonts w:ascii="Open Sans" w:hAnsi="Open Sans" w:cs="Open Sans"/>
        </w:rPr>
        <w:t xml:space="preserve">Although she </w:t>
      </w:r>
      <w:r w:rsidRPr="00493AC6">
        <w:rPr>
          <w:rFonts w:ascii="Open Sans" w:hAnsi="Open Sans" w:cs="Open Sans"/>
        </w:rPr>
        <w:t xml:space="preserve">was a British citizen, </w:t>
      </w:r>
      <w:r w:rsidR="008E7B04" w:rsidRPr="00493AC6">
        <w:rPr>
          <w:rFonts w:ascii="Open Sans" w:hAnsi="Open Sans" w:cs="Open Sans"/>
        </w:rPr>
        <w:t xml:space="preserve">she </w:t>
      </w:r>
      <w:r w:rsidRPr="00493AC6">
        <w:rPr>
          <w:rFonts w:ascii="Open Sans" w:hAnsi="Open Sans" w:cs="Open Sans"/>
        </w:rPr>
        <w:t xml:space="preserve">struggled to access refuge for a long time because she had left her paperwork behind when she had fled her abuser. </w:t>
      </w:r>
    </w:p>
    <w:p w14:paraId="3EDB0BFF" w14:textId="77777777" w:rsidR="00803FA7" w:rsidRPr="00493AC6" w:rsidRDefault="00803FA7" w:rsidP="007E72F1">
      <w:pPr>
        <w:rPr>
          <w:rFonts w:ascii="Open Sans" w:hAnsi="Open Sans" w:cs="Open Sans"/>
        </w:rPr>
      </w:pPr>
    </w:p>
    <w:p w14:paraId="35A24C40" w14:textId="77777777" w:rsidR="0043297D" w:rsidRPr="00493AC6" w:rsidRDefault="0043297D" w:rsidP="007E72F1">
      <w:pPr>
        <w:pStyle w:val="Heading3"/>
        <w:rPr>
          <w:b/>
        </w:rPr>
      </w:pPr>
      <w:r w:rsidRPr="00493AC6">
        <w:t>Inappropriate advice</w:t>
      </w:r>
    </w:p>
    <w:p w14:paraId="2E5400F4" w14:textId="58834595" w:rsidR="0043297D" w:rsidRPr="00493AC6" w:rsidRDefault="0043297D" w:rsidP="007E72F1">
      <w:pPr>
        <w:rPr>
          <w:rFonts w:ascii="Open Sans" w:hAnsi="Open Sans" w:cs="Open Sans"/>
        </w:rPr>
      </w:pPr>
      <w:r w:rsidRPr="00493AC6">
        <w:rPr>
          <w:rFonts w:ascii="Open Sans" w:hAnsi="Open Sans" w:cs="Open Sans"/>
        </w:rPr>
        <w:t>Despite it being illegal to give immigration advice when you are not qualified i.e. a solicitor, barrister, or immigration advisor, in Cassie’s experience, statutory services such as Social Services and the Department for Work and Pensions (DWP) frequently give inappropriate advice to survivors</w:t>
      </w:r>
      <w:r w:rsidR="009C10D7" w:rsidRPr="00493AC6">
        <w:rPr>
          <w:rFonts w:ascii="Open Sans" w:hAnsi="Open Sans" w:cs="Open Sans"/>
        </w:rPr>
        <w:t xml:space="preserve"> and may be unaware of this regulation</w:t>
      </w:r>
      <w:r w:rsidRPr="00493AC6">
        <w:rPr>
          <w:rFonts w:ascii="Open Sans" w:hAnsi="Open Sans" w:cs="Open Sans"/>
        </w:rPr>
        <w:t>.</w:t>
      </w:r>
    </w:p>
    <w:p w14:paraId="67B551FA" w14:textId="14A561A8" w:rsidR="0043297D" w:rsidRPr="00493AC6" w:rsidRDefault="0043297D" w:rsidP="007E72F1">
      <w:pPr>
        <w:jc w:val="both"/>
        <w:rPr>
          <w:rFonts w:ascii="Open Sans" w:hAnsi="Open Sans" w:cs="Open Sans"/>
        </w:rPr>
      </w:pPr>
      <w:r w:rsidRPr="00493AC6">
        <w:rPr>
          <w:rFonts w:ascii="Open Sans" w:hAnsi="Open Sans" w:cs="Open Sans"/>
        </w:rPr>
        <w:t>“At the moment they</w:t>
      </w:r>
      <w:r w:rsidR="00FE0782" w:rsidRPr="00493AC6">
        <w:rPr>
          <w:rFonts w:ascii="Open Sans" w:hAnsi="Open Sans" w:cs="Open Sans"/>
        </w:rPr>
        <w:t xml:space="preserve"> [the DWP]</w:t>
      </w:r>
      <w:r w:rsidRPr="00493AC6">
        <w:rPr>
          <w:rFonts w:ascii="Open Sans" w:hAnsi="Open Sans" w:cs="Open Sans"/>
        </w:rPr>
        <w:t xml:space="preserve"> seem to refuse benefits to anyone with pre-settled status without considering if they have an underlying right to reside and they’re also telling anyone who’s got domestic abuse and pre-settled status to apply for the DDVC [Destitution Domestic Violence Concession]. I’ve had six or seven people who’ve </w:t>
      </w:r>
      <w:r w:rsidRPr="00493AC6">
        <w:rPr>
          <w:rFonts w:ascii="Open Sans" w:hAnsi="Open Sans" w:cs="Open Sans"/>
        </w:rPr>
        <w:lastRenderedPageBreak/>
        <w:t>done this. It’s completely inappropriate and th</w:t>
      </w:r>
      <w:r w:rsidR="008F0EA1" w:rsidRPr="00493AC6">
        <w:rPr>
          <w:rFonts w:ascii="Open Sans" w:hAnsi="Open Sans" w:cs="Open Sans"/>
        </w:rPr>
        <w:t>ey’</w:t>
      </w:r>
      <w:r w:rsidRPr="00493AC6">
        <w:rPr>
          <w:rFonts w:ascii="Open Sans" w:hAnsi="Open Sans" w:cs="Open Sans"/>
        </w:rPr>
        <w:t>r</w:t>
      </w:r>
      <w:r w:rsidR="008F0EA1" w:rsidRPr="00493AC6">
        <w:rPr>
          <w:rFonts w:ascii="Open Sans" w:hAnsi="Open Sans" w:cs="Open Sans"/>
        </w:rPr>
        <w:t>e</w:t>
      </w:r>
      <w:r w:rsidRPr="00493AC6">
        <w:rPr>
          <w:rFonts w:ascii="Open Sans" w:hAnsi="Open Sans" w:cs="Open Sans"/>
        </w:rPr>
        <w:t xml:space="preserve"> not eligible but they’re telling people to go and do this stuff.”</w:t>
      </w:r>
    </w:p>
    <w:p w14:paraId="68CEF5B2" w14:textId="1FF27581" w:rsidR="0043297D" w:rsidRPr="00493AC6" w:rsidRDefault="0043297D" w:rsidP="007E72F1">
      <w:pPr>
        <w:rPr>
          <w:rFonts w:ascii="Open Sans" w:hAnsi="Open Sans" w:cs="Open Sans"/>
        </w:rPr>
      </w:pPr>
      <w:r w:rsidRPr="00493AC6">
        <w:rPr>
          <w:rFonts w:ascii="Open Sans" w:hAnsi="Open Sans" w:cs="Open Sans"/>
        </w:rPr>
        <w:t>The Destitution Domestic Violence Concession enables survivors on certain visas to access benefits so that they can flee their abuser, have money to support themselves, and usually access refuge accommodation. Unfortunately, this is not available for everyone and</w:t>
      </w:r>
      <w:r w:rsidR="006E2971" w:rsidRPr="00493AC6">
        <w:rPr>
          <w:rFonts w:ascii="Open Sans" w:hAnsi="Open Sans" w:cs="Open Sans"/>
        </w:rPr>
        <w:t xml:space="preserve"> when survivors are</w:t>
      </w:r>
      <w:r w:rsidRPr="00493AC6">
        <w:rPr>
          <w:rFonts w:ascii="Open Sans" w:hAnsi="Open Sans" w:cs="Open Sans"/>
        </w:rPr>
        <w:t xml:space="preserve"> incorrectly advis</w:t>
      </w:r>
      <w:r w:rsidR="006E2971" w:rsidRPr="00493AC6">
        <w:rPr>
          <w:rFonts w:ascii="Open Sans" w:hAnsi="Open Sans" w:cs="Open Sans"/>
        </w:rPr>
        <w:t>ed about this</w:t>
      </w:r>
      <w:r w:rsidR="003F1968" w:rsidRPr="00493AC6">
        <w:rPr>
          <w:rFonts w:ascii="Open Sans" w:hAnsi="Open Sans" w:cs="Open Sans"/>
        </w:rPr>
        <w:t>,</w:t>
      </w:r>
      <w:r w:rsidRPr="00493AC6">
        <w:rPr>
          <w:rFonts w:ascii="Open Sans" w:hAnsi="Open Sans" w:cs="Open Sans"/>
        </w:rPr>
        <w:t xml:space="preserve"> it can have serious repercussions.</w:t>
      </w:r>
      <w:r w:rsidR="00576BFB" w:rsidRPr="00493AC6">
        <w:rPr>
          <w:rStyle w:val="FootnoteReference"/>
          <w:rFonts w:ascii="Open Sans" w:hAnsi="Open Sans" w:cs="Open Sans"/>
        </w:rPr>
        <w:t xml:space="preserve"> </w:t>
      </w:r>
      <w:r w:rsidR="00576BFB" w:rsidRPr="00493AC6">
        <w:rPr>
          <w:rStyle w:val="FootnoteReference"/>
          <w:rFonts w:ascii="Open Sans" w:hAnsi="Open Sans" w:cs="Open Sans"/>
        </w:rPr>
        <w:footnoteReference w:id="26"/>
      </w:r>
    </w:p>
    <w:p w14:paraId="66B4A074" w14:textId="690CCBE7" w:rsidR="0043297D" w:rsidRPr="00493AC6" w:rsidRDefault="0043297D" w:rsidP="007E72F1">
      <w:pPr>
        <w:jc w:val="both"/>
        <w:rPr>
          <w:rFonts w:ascii="Open Sans" w:hAnsi="Open Sans" w:cs="Open Sans"/>
        </w:rPr>
      </w:pPr>
      <w:r w:rsidRPr="00493AC6">
        <w:rPr>
          <w:rFonts w:ascii="Open Sans" w:hAnsi="Open Sans" w:cs="Open Sans"/>
        </w:rPr>
        <w:t xml:space="preserve">“If they </w:t>
      </w:r>
      <w:r w:rsidR="00576BFB" w:rsidRPr="00493AC6">
        <w:rPr>
          <w:rFonts w:ascii="Open Sans" w:hAnsi="Open Sans" w:cs="Open Sans"/>
        </w:rPr>
        <w:t xml:space="preserve">[advisors] </w:t>
      </w:r>
      <w:r w:rsidRPr="00493AC6">
        <w:rPr>
          <w:rFonts w:ascii="Open Sans" w:hAnsi="Open Sans" w:cs="Open Sans"/>
        </w:rPr>
        <w:t>tell someone who is here as the dependent of someone who is here on a work visa to apply for the concession, she won’t be eligible but she’s also telling the home office her relationship has broken down and they’re likely to then revoke her visa. So, for some people it has very serious consequences.”</w:t>
      </w:r>
    </w:p>
    <w:p w14:paraId="3A7C6678" w14:textId="77777777" w:rsidR="0043297D" w:rsidRPr="00493AC6" w:rsidRDefault="0043297D" w:rsidP="007E72F1">
      <w:pPr>
        <w:rPr>
          <w:rFonts w:ascii="Open Sans" w:hAnsi="Open Sans" w:cs="Open Sans"/>
        </w:rPr>
      </w:pPr>
      <w:r w:rsidRPr="00493AC6">
        <w:rPr>
          <w:rFonts w:ascii="Open Sans" w:hAnsi="Open Sans" w:cs="Open Sans"/>
        </w:rPr>
        <w:t xml:space="preserve">Under section 17 of the Children Act 1989, local authorities have a duty to safeguard and promote the welfare of children in need and their upbringing with their families. This can include providing accommodation and/ or essential living expenses (Coram, 2017). Whilst not everyone is eligible for this support, Cassie argues that if Social Services were to carry out a full human rights assessment on these particular cases, they would likely find that they do have a duty to support these families under this legislation. Unfortunately, in </w:t>
      </w:r>
      <w:r w:rsidRPr="00493AC6">
        <w:rPr>
          <w:rFonts w:ascii="Open Sans" w:hAnsi="Open Sans" w:cs="Open Sans"/>
        </w:rPr>
        <w:lastRenderedPageBreak/>
        <w:t>practice local authorities sometimes evade responsibility for helping even those families who are eligible, sometimes involving inappropriate immigration advice.</w:t>
      </w:r>
    </w:p>
    <w:p w14:paraId="5173EBC0" w14:textId="63331369" w:rsidR="0043297D" w:rsidRPr="00493AC6" w:rsidRDefault="0043297D" w:rsidP="007E72F1">
      <w:pPr>
        <w:jc w:val="both"/>
        <w:rPr>
          <w:rFonts w:ascii="Open Sans" w:hAnsi="Open Sans" w:cs="Open Sans"/>
        </w:rPr>
      </w:pPr>
      <w:r w:rsidRPr="00493AC6">
        <w:rPr>
          <w:rFonts w:ascii="Open Sans" w:hAnsi="Open Sans" w:cs="Open Sans"/>
        </w:rPr>
        <w:t>“You get social services taking women to Croydon and getting them to claim Asylum because once they’ve claimed asylum and they’ve got asylum support they’re no longer entitled to section 17 support anymore and so they get rid of their duty. They do this even when a woman has no asylum claim […] and has made no indication that she wants to claim asylum or that she’s afraid of return. They actually drive them, some social services, to Croydon, and get them to claim Asylum so that they no longer have a duty. It’s incredibly dodgy but it’s happened a few times.”</w:t>
      </w:r>
    </w:p>
    <w:p w14:paraId="397CA1D9" w14:textId="77777777" w:rsidR="00803FA7" w:rsidRPr="00493AC6" w:rsidRDefault="00803FA7" w:rsidP="007E72F1">
      <w:pPr>
        <w:jc w:val="both"/>
        <w:rPr>
          <w:rFonts w:ascii="Open Sans" w:hAnsi="Open Sans" w:cs="Open Sans"/>
        </w:rPr>
      </w:pPr>
    </w:p>
    <w:p w14:paraId="6727FCA4" w14:textId="77777777" w:rsidR="0043297D" w:rsidRPr="00493AC6" w:rsidRDefault="0043297D" w:rsidP="007E72F1">
      <w:pPr>
        <w:pStyle w:val="Heading3"/>
      </w:pPr>
      <w:r w:rsidRPr="00493AC6">
        <w:t>Accessing immigration advice</w:t>
      </w:r>
    </w:p>
    <w:p w14:paraId="0413FBE5" w14:textId="77777777" w:rsidR="0043297D" w:rsidRPr="00493AC6" w:rsidRDefault="0043297D" w:rsidP="007E72F1">
      <w:pPr>
        <w:jc w:val="both"/>
        <w:rPr>
          <w:rFonts w:ascii="Open Sans" w:hAnsi="Open Sans" w:cs="Open Sans"/>
        </w:rPr>
      </w:pPr>
      <w:r w:rsidRPr="00493AC6">
        <w:rPr>
          <w:rFonts w:ascii="Open Sans" w:hAnsi="Open Sans" w:cs="Open Sans"/>
        </w:rPr>
        <w:t>“It feels like the public law sector was decimated in 2013 when legal aid was cut and nothing has been put in to replace it. In our sector nothing has been done, domestic abuse workers are just lumped with somehow trying to deal with something that they aren’t trained to do […] they’ve got no one to go to anymore and they’re really stuck and there needs to be some sort of provision to help them because they can’t negotiate it.”</w:t>
      </w:r>
    </w:p>
    <w:p w14:paraId="0DB32B47" w14:textId="77777777" w:rsidR="0043297D" w:rsidRPr="00493AC6" w:rsidRDefault="0043297D" w:rsidP="007E72F1">
      <w:pPr>
        <w:rPr>
          <w:rFonts w:ascii="Open Sans" w:hAnsi="Open Sans" w:cs="Open Sans"/>
        </w:rPr>
      </w:pPr>
      <w:r w:rsidRPr="00493AC6">
        <w:rPr>
          <w:rFonts w:ascii="Open Sans" w:hAnsi="Open Sans" w:cs="Open Sans"/>
        </w:rPr>
        <w:t xml:space="preserve">Cassie spoke about the impact of The Legal Aid, Sentencing and Punishment of Offenders Act 2012 (LASPO), which removed most </w:t>
      </w:r>
      <w:r w:rsidRPr="00493AC6">
        <w:rPr>
          <w:rFonts w:ascii="Open Sans" w:hAnsi="Open Sans" w:cs="Open Sans"/>
        </w:rPr>
        <w:lastRenderedPageBreak/>
        <w:t>immigration matters from the scope of legal aid. Although there exists an ‘Exceptional Case Funding’ pathway, this has been found to be incredibly complex to navigate, disproportionately disadvantaging survivors with vulnerabilities such as mental health support needs and language support needs (Rights of Women, 2019). In Cassie’s experience this scheme is sometimes even too complex for survivors without these vulnerabilities, due to the application forms; which are designed for lawyers to complete, making them extremely confusing for most members of the public, even if their first language is English. Cassie regularly supports people with these applications in her role as an immigration advisor and is yet to have one refused, however, without the initial support most people don’t know they exist; Cassie finds that solicitors often don’t tell people they can</w:t>
      </w:r>
      <w:r w:rsidR="000355AD" w:rsidRPr="00493AC6">
        <w:rPr>
          <w:rFonts w:ascii="Open Sans" w:hAnsi="Open Sans" w:cs="Open Sans"/>
        </w:rPr>
        <w:t xml:space="preserve"> go</w:t>
      </w:r>
      <w:r w:rsidRPr="00493AC6">
        <w:rPr>
          <w:rFonts w:ascii="Open Sans" w:hAnsi="Open Sans" w:cs="Open Sans"/>
        </w:rPr>
        <w:t xml:space="preserve"> down the exceptional funding route.</w:t>
      </w:r>
    </w:p>
    <w:p w14:paraId="2D900747" w14:textId="63A515F5" w:rsidR="0043297D" w:rsidRPr="00493AC6" w:rsidRDefault="0043297D" w:rsidP="007E72F1">
      <w:pPr>
        <w:rPr>
          <w:rFonts w:ascii="Open Sans" w:hAnsi="Open Sans" w:cs="Open Sans"/>
        </w:rPr>
      </w:pPr>
      <w:r w:rsidRPr="00493AC6">
        <w:rPr>
          <w:rFonts w:ascii="Open Sans" w:hAnsi="Open Sans" w:cs="Open Sans"/>
        </w:rPr>
        <w:t xml:space="preserve">Cassie </w:t>
      </w:r>
      <w:r w:rsidR="0033776B" w:rsidRPr="00493AC6">
        <w:rPr>
          <w:rFonts w:ascii="Open Sans" w:hAnsi="Open Sans" w:cs="Open Sans"/>
        </w:rPr>
        <w:t>frequently</w:t>
      </w:r>
      <w:r w:rsidR="00CC1928" w:rsidRPr="00493AC6">
        <w:rPr>
          <w:rFonts w:ascii="Open Sans" w:hAnsi="Open Sans" w:cs="Open Sans"/>
        </w:rPr>
        <w:t xml:space="preserve"> </w:t>
      </w:r>
      <w:r w:rsidRPr="00493AC6">
        <w:rPr>
          <w:rFonts w:ascii="Open Sans" w:hAnsi="Open Sans" w:cs="Open Sans"/>
        </w:rPr>
        <w:t xml:space="preserve">receives emails from domestic abuse organisations, sometimes from the other side of the country, asking for advice </w:t>
      </w:r>
      <w:r w:rsidR="00360DEF" w:rsidRPr="00493AC6">
        <w:rPr>
          <w:rFonts w:ascii="Open Sans" w:hAnsi="Open Sans" w:cs="Open Sans"/>
        </w:rPr>
        <w:t xml:space="preserve">about </w:t>
      </w:r>
      <w:r w:rsidRPr="00493AC6">
        <w:rPr>
          <w:rFonts w:ascii="Open Sans" w:hAnsi="Open Sans" w:cs="Open Sans"/>
        </w:rPr>
        <w:t>a survivor’s immigration status and what she might be entitled to. The lack of accessible immigration advice for survivors and the services supporting them could not be any more evident from Cassie’s experience.</w:t>
      </w:r>
    </w:p>
    <w:p w14:paraId="09740963" w14:textId="411BFCDB" w:rsidR="0043297D" w:rsidRPr="00493AC6" w:rsidRDefault="0043297D" w:rsidP="007E72F1">
      <w:pPr>
        <w:jc w:val="both"/>
        <w:rPr>
          <w:rFonts w:ascii="Open Sans" w:hAnsi="Open Sans" w:cs="Open Sans"/>
        </w:rPr>
      </w:pPr>
      <w:r w:rsidRPr="00493AC6">
        <w:rPr>
          <w:rFonts w:ascii="Open Sans" w:hAnsi="Open Sans" w:cs="Open Sans"/>
        </w:rPr>
        <w:t>“They’ll just email me and ask. They just don’t know where else to go.”</w:t>
      </w:r>
    </w:p>
    <w:p w14:paraId="69C02C02" w14:textId="77777777" w:rsidR="00803FA7" w:rsidRPr="00493AC6" w:rsidRDefault="00803FA7" w:rsidP="007E72F1">
      <w:pPr>
        <w:jc w:val="both"/>
        <w:rPr>
          <w:rFonts w:ascii="Open Sans" w:hAnsi="Open Sans" w:cs="Open Sans"/>
        </w:rPr>
      </w:pPr>
    </w:p>
    <w:p w14:paraId="4398BF3B" w14:textId="77777777" w:rsidR="0043297D" w:rsidRPr="00493AC6" w:rsidRDefault="0043297D" w:rsidP="007E72F1">
      <w:pPr>
        <w:pStyle w:val="Heading3"/>
        <w:rPr>
          <w:b/>
        </w:rPr>
      </w:pPr>
      <w:r w:rsidRPr="00493AC6">
        <w:lastRenderedPageBreak/>
        <w:t>What is the impact on survivors?</w:t>
      </w:r>
    </w:p>
    <w:p w14:paraId="55ED10FA" w14:textId="5C089306" w:rsidR="0043297D" w:rsidRPr="00493AC6" w:rsidRDefault="0043297D" w:rsidP="007E72F1">
      <w:pPr>
        <w:rPr>
          <w:rFonts w:ascii="Open Sans" w:hAnsi="Open Sans" w:cs="Open Sans"/>
        </w:rPr>
      </w:pPr>
      <w:r w:rsidRPr="00493AC6">
        <w:rPr>
          <w:rFonts w:ascii="Open Sans" w:hAnsi="Open Sans" w:cs="Open Sans"/>
        </w:rPr>
        <w:t>What is most concerning for Cassie is how the lack of accessible immigration advice can result in survivors not being able to access the support that they are entitled to. As Cassie explains, there are instances w</w:t>
      </w:r>
      <w:r w:rsidR="002B6A9F" w:rsidRPr="00493AC6">
        <w:rPr>
          <w:rFonts w:ascii="Open Sans" w:hAnsi="Open Sans" w:cs="Open Sans"/>
        </w:rPr>
        <w:t>here</w:t>
      </w:r>
      <w:r w:rsidRPr="00493AC6">
        <w:rPr>
          <w:rFonts w:ascii="Open Sans" w:hAnsi="Open Sans" w:cs="Open Sans"/>
        </w:rPr>
        <w:t xml:space="preserve"> refuges refuse women despite them having the Destitution Domestic Violence Concession; the very scheme that was created to enable survivors to access safe accommodation.</w:t>
      </w:r>
    </w:p>
    <w:p w14:paraId="5F10F2A5" w14:textId="77777777" w:rsidR="00D4377B" w:rsidRPr="00493AC6" w:rsidRDefault="0043297D" w:rsidP="007E72F1">
      <w:pPr>
        <w:jc w:val="both"/>
        <w:rPr>
          <w:rFonts w:ascii="Open Sans" w:hAnsi="Open Sans" w:cs="Open Sans"/>
        </w:rPr>
      </w:pPr>
      <w:r w:rsidRPr="00493AC6">
        <w:rPr>
          <w:rFonts w:ascii="Open Sans" w:hAnsi="Open Sans" w:cs="Open Sans"/>
        </w:rPr>
        <w:t xml:space="preserve">“I’ve had services tell me ‘She had recourse to public funds but the funding is only for three months, and we wouldn’t be able to fund her after that.’ This woman is on the [Destitution Domestic Violence] Concession, which is there specifically so she can get safe housing […] and there’s a total lack of understanding that as long as she made her domestic abuse application in time, she’d have her right to public funds continue. They don’t understand that, they think that at the end of three months she’ll have no access to anything and they’ll have to evict her. </w:t>
      </w:r>
    </w:p>
    <w:p w14:paraId="2839880D" w14:textId="77777777" w:rsidR="0043297D" w:rsidRPr="00493AC6" w:rsidRDefault="00D92188" w:rsidP="007E72F1">
      <w:pPr>
        <w:jc w:val="both"/>
        <w:rPr>
          <w:rFonts w:ascii="Open Sans" w:hAnsi="Open Sans" w:cs="Open Sans"/>
        </w:rPr>
      </w:pPr>
      <w:r w:rsidRPr="00493AC6">
        <w:rPr>
          <w:rFonts w:ascii="Open Sans" w:hAnsi="Open Sans" w:cs="Open Sans"/>
        </w:rPr>
        <w:t>“</w:t>
      </w:r>
      <w:r w:rsidR="0043297D" w:rsidRPr="00493AC6">
        <w:rPr>
          <w:rFonts w:ascii="Open Sans" w:hAnsi="Open Sans" w:cs="Open Sans"/>
        </w:rPr>
        <w:t>When it gets to the point that refuges are actually refusing women when they’ve got the specific type of leave that was created so they could access refuge, it’s bad. It’s really bad.”</w:t>
      </w:r>
    </w:p>
    <w:p w14:paraId="4225189D" w14:textId="77777777" w:rsidR="0043297D" w:rsidRPr="00493AC6" w:rsidRDefault="0043297D" w:rsidP="007E72F1">
      <w:pPr>
        <w:rPr>
          <w:rFonts w:ascii="Open Sans" w:hAnsi="Open Sans" w:cs="Open Sans"/>
        </w:rPr>
      </w:pPr>
      <w:r w:rsidRPr="00493AC6">
        <w:rPr>
          <w:rFonts w:ascii="Open Sans" w:hAnsi="Open Sans" w:cs="Open Sans"/>
        </w:rPr>
        <w:t xml:space="preserve">The impact of this means that many survivors may return to </w:t>
      </w:r>
      <w:r w:rsidR="00990F32" w:rsidRPr="00493AC6">
        <w:rPr>
          <w:rFonts w:ascii="Open Sans" w:hAnsi="Open Sans" w:cs="Open Sans"/>
        </w:rPr>
        <w:t xml:space="preserve">live with </w:t>
      </w:r>
      <w:r w:rsidRPr="00493AC6">
        <w:rPr>
          <w:rFonts w:ascii="Open Sans" w:hAnsi="Open Sans" w:cs="Open Sans"/>
        </w:rPr>
        <w:t>their perpetrators because they believe that they have no other option. Cassie has met many survivors who have done just this, only to learn years later that they were eligible for support.</w:t>
      </w:r>
    </w:p>
    <w:p w14:paraId="242E1A3A" w14:textId="77777777" w:rsidR="0043297D" w:rsidRPr="00493AC6" w:rsidRDefault="0043297D" w:rsidP="007E72F1">
      <w:pPr>
        <w:jc w:val="both"/>
        <w:rPr>
          <w:rFonts w:ascii="Open Sans" w:hAnsi="Open Sans" w:cs="Open Sans"/>
        </w:rPr>
      </w:pPr>
      <w:r w:rsidRPr="00493AC6">
        <w:rPr>
          <w:rFonts w:ascii="Open Sans" w:hAnsi="Open Sans" w:cs="Open Sans"/>
        </w:rPr>
        <w:lastRenderedPageBreak/>
        <w:t>“I find it incredibly distressing the number of women who have been refused and return to abusive partners because we as a sector didn’t know their rights or how to fight for their rights. They actually had a right to access things and we didn’t recognise it and they went back; they’re being returned to abuse when it shouldn’t happen and they wanted to leave and they had rights and they couldn’t access them. I’ve seen them, they come in to see me years later after they’ve been sent back to live with him and it’s clear that this never should have happened; they had rights this whole time.</w:t>
      </w:r>
    </w:p>
    <w:p w14:paraId="17B0D8B9" w14:textId="77777777" w:rsidR="0043297D" w:rsidRPr="00493AC6" w:rsidRDefault="0043297D" w:rsidP="007E72F1">
      <w:pPr>
        <w:jc w:val="both"/>
        <w:rPr>
          <w:rFonts w:ascii="Open Sans" w:hAnsi="Open Sans" w:cs="Open Sans"/>
        </w:rPr>
      </w:pPr>
      <w:r w:rsidRPr="00493AC6">
        <w:rPr>
          <w:rFonts w:ascii="Open Sans" w:hAnsi="Open Sans" w:cs="Open Sans"/>
        </w:rPr>
        <w:t xml:space="preserve">“It always scares me because I think of how easy it would be for that woman never to have got the advice she needed, for her to remain trapped in the abusive relationship. Getting the right advice seems arbitrary, haphazard – a matter of luck. There are so few places where you can get free immigration advice and even fewer places where you can find free immigration, welfare benefits, housing /homelessness and community care expertise all at once. And that’s the thing – immigration status affects so much. </w:t>
      </w:r>
    </w:p>
    <w:p w14:paraId="7676E6C7" w14:textId="77777777" w:rsidR="00DE413A" w:rsidRPr="00493AC6" w:rsidRDefault="0043297D" w:rsidP="007E72F1">
      <w:pPr>
        <w:jc w:val="both"/>
        <w:rPr>
          <w:rFonts w:ascii="Open Sans" w:hAnsi="Open Sans" w:cs="Open Sans"/>
        </w:rPr>
      </w:pPr>
      <w:r w:rsidRPr="00493AC6">
        <w:rPr>
          <w:rFonts w:ascii="Open Sans" w:hAnsi="Open Sans" w:cs="Open Sans"/>
        </w:rPr>
        <w:t xml:space="preserve">“I have trained countless, absolutely amazing domestic abuse specialists who are completely committed and willing to do whatever they can to support survivors. I am always afraid that people will respond along the lines of ‘That’s all very well but we just don’t have capacity to do that, we can’t help survivors to challenge benefits decisions, social services decisions.’ But it has never happened. Not once. The will is there to support survivors and to fight for their rights, </w:t>
      </w:r>
      <w:r w:rsidRPr="00493AC6">
        <w:rPr>
          <w:rFonts w:ascii="Open Sans" w:hAnsi="Open Sans" w:cs="Open Sans"/>
        </w:rPr>
        <w:lastRenderedPageBreak/>
        <w:t>but domestic abuse specialists are not legal advisers and access to services can be hideously complicated by immigration status – even women with the right to work or to claim benefits often find it incredibly difficult and are wrongly told that they do not have the rights that they do, in fact, have.</w:t>
      </w:r>
      <w:r w:rsidR="00DE413A" w:rsidRPr="00493AC6">
        <w:rPr>
          <w:rFonts w:ascii="Open Sans" w:hAnsi="Open Sans" w:cs="Open Sans"/>
        </w:rPr>
        <w:t>”</w:t>
      </w:r>
      <w:r w:rsidRPr="00493AC6">
        <w:rPr>
          <w:rFonts w:ascii="Open Sans" w:hAnsi="Open Sans" w:cs="Open Sans"/>
        </w:rPr>
        <w:t xml:space="preserve"> </w:t>
      </w:r>
    </w:p>
    <w:p w14:paraId="4A805BA0" w14:textId="77777777" w:rsidR="0043297D" w:rsidRPr="00493AC6" w:rsidRDefault="00DE413A" w:rsidP="007E72F1">
      <w:pPr>
        <w:jc w:val="both"/>
        <w:rPr>
          <w:rFonts w:ascii="Open Sans" w:hAnsi="Open Sans" w:cs="Open Sans"/>
        </w:rPr>
      </w:pPr>
      <w:r w:rsidRPr="00493AC6">
        <w:rPr>
          <w:rFonts w:ascii="Open Sans" w:hAnsi="Open Sans" w:cs="Open Sans"/>
        </w:rPr>
        <w:t>“</w:t>
      </w:r>
      <w:r w:rsidR="0043297D" w:rsidRPr="00493AC6">
        <w:rPr>
          <w:rFonts w:ascii="Open Sans" w:hAnsi="Open Sans" w:cs="Open Sans"/>
        </w:rPr>
        <w:t>If you really want to see the ‘hostile environment’ in action, go to any domestic abuse service. You will quickly see just how hard it is to support women who don’t have ‘the right papers’ and just how hostile we as a nation have become.”</w:t>
      </w:r>
    </w:p>
    <w:p w14:paraId="3947E25E" w14:textId="77777777" w:rsidR="0043297D" w:rsidRPr="00493AC6" w:rsidRDefault="0043297D" w:rsidP="007E72F1">
      <w:pPr>
        <w:jc w:val="both"/>
      </w:pPr>
    </w:p>
    <w:p w14:paraId="15C3F071" w14:textId="77777777" w:rsidR="0059433F" w:rsidRPr="00493AC6" w:rsidRDefault="0059433F" w:rsidP="007E72F1">
      <w:pPr>
        <w:rPr>
          <w:rFonts w:ascii="Open Sans" w:hAnsi="Open Sans" w:cs="Open Sans"/>
          <w:lang w:val="en-US"/>
        </w:rPr>
      </w:pPr>
    </w:p>
    <w:p w14:paraId="18EBCCAF" w14:textId="77777777" w:rsidR="00895D26" w:rsidRPr="00493AC6" w:rsidRDefault="00895D26" w:rsidP="007E72F1">
      <w:pPr>
        <w:rPr>
          <w:rFonts w:ascii="Open Sans" w:hAnsi="Open Sans" w:cs="Open Sans"/>
          <w:lang w:val="en-US"/>
        </w:rPr>
      </w:pPr>
      <w:r w:rsidRPr="00493AC6">
        <w:rPr>
          <w:rFonts w:ascii="Open Sans" w:hAnsi="Open Sans" w:cs="Open Sans"/>
          <w:lang w:val="en-US"/>
        </w:rPr>
        <w:br w:type="page"/>
      </w:r>
    </w:p>
    <w:p w14:paraId="291820CE" w14:textId="77777777" w:rsidR="00F942FF" w:rsidRPr="00493AC6" w:rsidRDefault="00F942FF" w:rsidP="007E72F1">
      <w:pPr>
        <w:pStyle w:val="Heading2"/>
      </w:pPr>
      <w:bookmarkStart w:id="32" w:name="_Toc104535757"/>
      <w:r w:rsidRPr="00493AC6">
        <w:lastRenderedPageBreak/>
        <w:t>Where did women stay while they waited for a refuge space?</w:t>
      </w:r>
      <w:bookmarkEnd w:id="32"/>
    </w:p>
    <w:p w14:paraId="6746606B" w14:textId="02A79FA1" w:rsidR="00F942FF" w:rsidRDefault="00883582" w:rsidP="00883582">
      <w:pPr>
        <w:pStyle w:val="Heading3"/>
        <w:rPr>
          <w:lang w:val="en-US"/>
        </w:rPr>
      </w:pPr>
      <w:r>
        <w:rPr>
          <w:lang w:val="en-US"/>
        </w:rPr>
        <w:t xml:space="preserve">Table </w:t>
      </w:r>
      <w:r w:rsidR="00D651DC">
        <w:rPr>
          <w:lang w:val="en-US"/>
        </w:rPr>
        <w:t>2</w:t>
      </w:r>
      <w:r>
        <w:rPr>
          <w:lang w:val="en-US"/>
        </w:rPr>
        <w:t>: Where did women stay while they waited for a refuge space?</w:t>
      </w:r>
    </w:p>
    <w:p w14:paraId="0C2746CE" w14:textId="7CB34B11" w:rsidR="00D651DC" w:rsidRDefault="0096463A" w:rsidP="0096463A">
      <w:r w:rsidRPr="00493AC6">
        <w:t xml:space="preserve">Please note that this is a text version of a table depicting the same </w:t>
      </w:r>
      <w:r w:rsidR="00D651DC">
        <w:t>data</w:t>
      </w:r>
      <w:r w:rsidRPr="00493AC6">
        <w:t xml:space="preserve">. </w:t>
      </w:r>
      <w:r w:rsidR="00D651DC">
        <w:t>You can view this data in table format in the PDF version of this report, available on the Women’s Aid Evidence Hub.</w:t>
      </w:r>
    </w:p>
    <w:p w14:paraId="6A5D57CA" w14:textId="0D18CBD2" w:rsidR="0096463A" w:rsidRDefault="0096463A" w:rsidP="0096463A">
      <w:r>
        <w:t xml:space="preserve">Below is a list of the different places where women stayed as they waited for a refuge space, and the number and percentage of women out of </w:t>
      </w:r>
      <w:r w:rsidR="00CE3E69">
        <w:t xml:space="preserve">the </w:t>
      </w:r>
      <w:r>
        <w:t>184 who</w:t>
      </w:r>
      <w:r w:rsidR="00CE3E69">
        <w:t xml:space="preserve"> were supported by the NWTA project who</w:t>
      </w:r>
      <w:r>
        <w:t xml:space="preserve"> stayed there.</w:t>
      </w:r>
      <w:r w:rsidR="00D651DC">
        <w:t xml:space="preserve"> We were not necessarily aware of where women were staying and not all women are represented here. Some women stayed in more than one type of temporary accommodation.</w:t>
      </w:r>
    </w:p>
    <w:p w14:paraId="769C3E69" w14:textId="77777777" w:rsidR="0096463A" w:rsidRDefault="0096463A" w:rsidP="00D651DC">
      <w:pPr>
        <w:pStyle w:val="ListParagraph"/>
        <w:numPr>
          <w:ilvl w:val="0"/>
          <w:numId w:val="15"/>
        </w:numPr>
      </w:pPr>
      <w:r w:rsidRPr="00D651DC">
        <w:rPr>
          <w:b/>
          <w:bCs/>
        </w:rPr>
        <w:t xml:space="preserve">40 (21.7%) </w:t>
      </w:r>
      <w:r>
        <w:t>spent time sofa-surfing</w:t>
      </w:r>
    </w:p>
    <w:p w14:paraId="46522990" w14:textId="77777777" w:rsidR="00D651DC" w:rsidRDefault="00D651DC" w:rsidP="00D651DC">
      <w:pPr>
        <w:pStyle w:val="ListParagraph"/>
        <w:numPr>
          <w:ilvl w:val="0"/>
          <w:numId w:val="15"/>
        </w:numPr>
      </w:pPr>
      <w:r w:rsidRPr="00D651DC">
        <w:rPr>
          <w:b/>
          <w:bCs/>
        </w:rPr>
        <w:t xml:space="preserve">32 (17.4%) </w:t>
      </w:r>
      <w:r>
        <w:t>spent time in emergency accommodation</w:t>
      </w:r>
    </w:p>
    <w:p w14:paraId="4CC6003B" w14:textId="63581CB5" w:rsidR="00D651DC" w:rsidRDefault="00D651DC" w:rsidP="00D651DC">
      <w:pPr>
        <w:pStyle w:val="ListParagraph"/>
        <w:numPr>
          <w:ilvl w:val="0"/>
          <w:numId w:val="15"/>
        </w:numPr>
      </w:pPr>
      <w:r w:rsidRPr="00D651DC">
        <w:rPr>
          <w:b/>
          <w:bCs/>
        </w:rPr>
        <w:t>20 (10.8%)</w:t>
      </w:r>
      <w:r>
        <w:t xml:space="preserve"> spent time in emergency accommodation (different local authority</w:t>
      </w:r>
    </w:p>
    <w:p w14:paraId="6303AF19" w14:textId="2BD4A10A" w:rsidR="00D651DC" w:rsidRDefault="00D651DC" w:rsidP="00D651DC">
      <w:pPr>
        <w:pStyle w:val="ListParagraph"/>
        <w:numPr>
          <w:ilvl w:val="0"/>
          <w:numId w:val="15"/>
        </w:numPr>
      </w:pPr>
      <w:r w:rsidRPr="00D651DC">
        <w:rPr>
          <w:b/>
          <w:bCs/>
        </w:rPr>
        <w:t>8 (4.3%)</w:t>
      </w:r>
      <w:r>
        <w:t xml:space="preserve"> paid to stay in a hostel/B&amp;B/hotel</w:t>
      </w:r>
    </w:p>
    <w:p w14:paraId="1F613FDB" w14:textId="5BD9CBE2" w:rsidR="00D651DC" w:rsidRDefault="00D651DC" w:rsidP="00D651DC">
      <w:pPr>
        <w:pStyle w:val="ListParagraph"/>
        <w:numPr>
          <w:ilvl w:val="0"/>
          <w:numId w:val="15"/>
        </w:numPr>
      </w:pPr>
      <w:r w:rsidRPr="00D651DC">
        <w:rPr>
          <w:b/>
          <w:bCs/>
        </w:rPr>
        <w:t>6 (3.3%)</w:t>
      </w:r>
      <w:r>
        <w:t xml:space="preserve"> spent time sleeping rough (including using 24h spaces to sleep, or living in her car)</w:t>
      </w:r>
    </w:p>
    <w:p w14:paraId="2827E0F0" w14:textId="58A80F84" w:rsidR="00D651DC" w:rsidRPr="0096463A" w:rsidRDefault="00D651DC" w:rsidP="00D651DC">
      <w:r>
        <w:t>End of table data.</w:t>
      </w:r>
    </w:p>
    <w:p w14:paraId="72271EDD" w14:textId="36B74FB2" w:rsidR="004038DB" w:rsidRPr="00493AC6" w:rsidRDefault="09BA77AE" w:rsidP="007E72F1">
      <w:pPr>
        <w:rPr>
          <w:rFonts w:ascii="Open Sans" w:hAnsi="Open Sans" w:cs="Open Sans"/>
          <w:color w:val="262626" w:themeColor="text1"/>
        </w:rPr>
      </w:pPr>
      <w:r w:rsidRPr="00493AC6">
        <w:rPr>
          <w:rFonts w:ascii="Open Sans" w:hAnsi="Open Sans" w:cs="Open Sans"/>
          <w:color w:val="262626" w:themeColor="text1"/>
          <w:lang w:val="en-US"/>
        </w:rPr>
        <w:t xml:space="preserve">Table </w:t>
      </w:r>
      <w:r w:rsidR="3593CDBE" w:rsidRPr="00493AC6">
        <w:rPr>
          <w:rFonts w:ascii="Open Sans" w:hAnsi="Open Sans" w:cs="Open Sans"/>
          <w:color w:val="262626" w:themeColor="text1"/>
          <w:lang w:val="en-US"/>
        </w:rPr>
        <w:t xml:space="preserve">2 </w:t>
      </w:r>
      <w:r w:rsidR="3593CDBE" w:rsidRPr="00493AC6">
        <w:rPr>
          <w:rFonts w:ascii="Open Sans" w:hAnsi="Open Sans" w:cs="Open Sans"/>
          <w:color w:val="262626" w:themeColor="text1"/>
        </w:rPr>
        <w:t>summarises where women stayed while searching for a refuge space.</w:t>
      </w:r>
      <w:r w:rsidR="2DFD29E7" w:rsidRPr="00493AC6">
        <w:rPr>
          <w:rFonts w:ascii="Open Sans" w:hAnsi="Open Sans" w:cs="Open Sans"/>
          <w:color w:val="262626" w:themeColor="text1"/>
        </w:rPr>
        <w:t xml:space="preserve"> </w:t>
      </w:r>
      <w:r w:rsidR="77E5AB97" w:rsidRPr="00493AC6">
        <w:rPr>
          <w:rFonts w:ascii="Open Sans" w:hAnsi="Open Sans" w:cs="Open Sans"/>
          <w:color w:val="262626" w:themeColor="text1"/>
        </w:rPr>
        <w:t xml:space="preserve">Just over a quarter stayed </w:t>
      </w:r>
      <w:r w:rsidR="2DFD29E7" w:rsidRPr="00493AC6">
        <w:rPr>
          <w:rFonts w:ascii="Open Sans" w:hAnsi="Open Sans" w:cs="Open Sans"/>
          <w:color w:val="262626" w:themeColor="text1"/>
        </w:rPr>
        <w:t xml:space="preserve">in emergency accommodation, and just over a fifth of the women sofa surfed. </w:t>
      </w:r>
      <w:r w:rsidR="222F1899" w:rsidRPr="00493AC6">
        <w:rPr>
          <w:rFonts w:ascii="Open Sans" w:hAnsi="Open Sans" w:cs="Open Sans"/>
          <w:color w:val="262626" w:themeColor="text1"/>
        </w:rPr>
        <w:t xml:space="preserve">Others paid for a hotel/ B&amp;B or slept rough. </w:t>
      </w:r>
      <w:r w:rsidR="004038DB" w:rsidRPr="00493AC6">
        <w:rPr>
          <w:rFonts w:ascii="Open Sans" w:hAnsi="Open Sans" w:cs="Open Sans"/>
          <w:color w:val="262626" w:themeColor="text1"/>
        </w:rPr>
        <w:t xml:space="preserve">Of the women that </w:t>
      </w:r>
      <w:r w:rsidR="004038DB" w:rsidRPr="00493AC6">
        <w:rPr>
          <w:rFonts w:ascii="Open Sans" w:hAnsi="Open Sans" w:cs="Open Sans"/>
          <w:color w:val="262626" w:themeColor="text1"/>
        </w:rPr>
        <w:lastRenderedPageBreak/>
        <w:t>spent time sofa surfing, 15 had dependent children. W</w:t>
      </w:r>
      <w:r w:rsidR="00A4161C" w:rsidRPr="00493AC6">
        <w:rPr>
          <w:rFonts w:ascii="Open Sans" w:hAnsi="Open Sans" w:cs="Open Sans"/>
          <w:color w:val="262626" w:themeColor="text1"/>
        </w:rPr>
        <w:t>hilst just over half (eight) of these</w:t>
      </w:r>
      <w:r w:rsidR="004038DB" w:rsidRPr="00493AC6">
        <w:rPr>
          <w:rFonts w:ascii="Open Sans" w:hAnsi="Open Sans" w:cs="Open Sans"/>
          <w:color w:val="262626" w:themeColor="text1"/>
        </w:rPr>
        <w:t xml:space="preserve"> survivors were able to rely on family and friends </w:t>
      </w:r>
      <w:r w:rsidR="00A4161C" w:rsidRPr="00493AC6">
        <w:rPr>
          <w:rFonts w:ascii="Open Sans" w:hAnsi="Open Sans" w:cs="Open Sans"/>
          <w:color w:val="262626" w:themeColor="text1"/>
        </w:rPr>
        <w:t>to accommodate their children during this difficult time, many others were not. In a few circumstances the children were taken into care or the perpetrator was granted custody.</w:t>
      </w:r>
    </w:p>
    <w:p w14:paraId="794000C4" w14:textId="27D729CC" w:rsidR="00757C31" w:rsidRPr="00D651DC" w:rsidRDefault="222F1899" w:rsidP="007E72F1">
      <w:pPr>
        <w:rPr>
          <w:rFonts w:ascii="Open Sans" w:hAnsi="Open Sans" w:cs="Open Sans"/>
          <w:color w:val="262626" w:themeColor="text1"/>
        </w:rPr>
      </w:pPr>
      <w:r w:rsidRPr="00493AC6">
        <w:rPr>
          <w:rFonts w:ascii="Open Sans" w:hAnsi="Open Sans" w:cs="Open Sans"/>
          <w:color w:val="262626" w:themeColor="text1"/>
        </w:rPr>
        <w:t>I</w:t>
      </w:r>
      <w:r w:rsidR="1DA48915" w:rsidRPr="00493AC6">
        <w:rPr>
          <w:rFonts w:ascii="Open Sans" w:hAnsi="Open Sans" w:cs="Open Sans"/>
          <w:color w:val="262626" w:themeColor="text1"/>
        </w:rPr>
        <w:t>n our other</w:t>
      </w:r>
      <w:r w:rsidRPr="00493AC6">
        <w:rPr>
          <w:rFonts w:ascii="Open Sans" w:hAnsi="Open Sans" w:cs="Open Sans"/>
          <w:color w:val="262626" w:themeColor="text1"/>
        </w:rPr>
        <w:t xml:space="preserve"> research we have found that whilst women are </w:t>
      </w:r>
      <w:r w:rsidR="4A636921" w:rsidRPr="00493AC6">
        <w:rPr>
          <w:rFonts w:ascii="Open Sans" w:hAnsi="Open Sans" w:cs="Open Sans"/>
          <w:color w:val="262626" w:themeColor="text1"/>
        </w:rPr>
        <w:t>extremely appreciative of the fact that family members or friend</w:t>
      </w:r>
      <w:r w:rsidR="44232BEF" w:rsidRPr="00493AC6">
        <w:rPr>
          <w:rFonts w:ascii="Open Sans" w:hAnsi="Open Sans" w:cs="Open Sans"/>
          <w:color w:val="262626" w:themeColor="text1"/>
        </w:rPr>
        <w:t>s are able to accommodate them, it can bring about it</w:t>
      </w:r>
      <w:r w:rsidR="4DAB6C90" w:rsidRPr="00493AC6">
        <w:rPr>
          <w:rFonts w:ascii="Open Sans" w:hAnsi="Open Sans" w:cs="Open Sans"/>
          <w:color w:val="262626" w:themeColor="text1"/>
        </w:rPr>
        <w:t xml:space="preserve">s own set of problems during this incredibly difficult time. For example, </w:t>
      </w:r>
      <w:r w:rsidR="636D1D4C" w:rsidRPr="00493AC6">
        <w:rPr>
          <w:rFonts w:ascii="Open Sans" w:hAnsi="Open Sans" w:cs="Open Sans"/>
          <w:color w:val="262626" w:themeColor="text1"/>
        </w:rPr>
        <w:t>in our Nowhere to Turn, 2019</w:t>
      </w:r>
      <w:r w:rsidR="44232BEF" w:rsidRPr="00493AC6">
        <w:rPr>
          <w:rFonts w:ascii="Open Sans" w:hAnsi="Open Sans" w:cs="Open Sans"/>
          <w:color w:val="262626" w:themeColor="text1"/>
        </w:rPr>
        <w:t xml:space="preserve"> </w:t>
      </w:r>
      <w:r w:rsidR="636D1D4C" w:rsidRPr="00493AC6">
        <w:rPr>
          <w:rFonts w:ascii="Open Sans" w:hAnsi="Open Sans" w:cs="Open Sans"/>
          <w:color w:val="262626" w:themeColor="text1"/>
        </w:rPr>
        <w:t xml:space="preserve">report, survivors shared stories of overcrowding, </w:t>
      </w:r>
      <w:r w:rsidR="083A6217" w:rsidRPr="00493AC6">
        <w:rPr>
          <w:rFonts w:ascii="Open Sans" w:hAnsi="Open Sans" w:cs="Open Sans"/>
          <w:color w:val="262626" w:themeColor="text1"/>
        </w:rPr>
        <w:t>broken friendships and, in some instances, further abuse (Women’s Aid, 2019a</w:t>
      </w:r>
      <w:r w:rsidR="00EC11B8" w:rsidRPr="00493AC6">
        <w:rPr>
          <w:rFonts w:ascii="Open Sans" w:hAnsi="Open Sans" w:cs="Open Sans"/>
          <w:color w:val="262626" w:themeColor="text1"/>
        </w:rPr>
        <w:t>;</w:t>
      </w:r>
      <w:r w:rsidR="00EE4EA8" w:rsidRPr="00493AC6">
        <w:rPr>
          <w:rFonts w:ascii="Open Sans" w:hAnsi="Open Sans" w:cs="Open Sans"/>
          <w:color w:val="262626" w:themeColor="text1"/>
        </w:rPr>
        <w:t xml:space="preserve"> see also Women’s Aid, 2020</w:t>
      </w:r>
      <w:r w:rsidR="00D01F8D" w:rsidRPr="00493AC6">
        <w:rPr>
          <w:rFonts w:ascii="Open Sans" w:hAnsi="Open Sans" w:cs="Open Sans"/>
          <w:color w:val="262626" w:themeColor="text1"/>
        </w:rPr>
        <w:t>b</w:t>
      </w:r>
      <w:r w:rsidR="083A6217" w:rsidRPr="00493AC6">
        <w:rPr>
          <w:rFonts w:ascii="Open Sans" w:hAnsi="Open Sans" w:cs="Open Sans"/>
          <w:color w:val="262626" w:themeColor="text1"/>
        </w:rPr>
        <w:t xml:space="preserve">). </w:t>
      </w:r>
      <w:r w:rsidR="76B7B95B" w:rsidRPr="00493AC6">
        <w:rPr>
          <w:rFonts w:ascii="Open Sans" w:hAnsi="Open Sans" w:cs="Open Sans"/>
          <w:color w:val="262626" w:themeColor="text1"/>
        </w:rPr>
        <w:t xml:space="preserve">In our </w:t>
      </w:r>
      <w:r w:rsidR="00D31A66" w:rsidRPr="00493AC6">
        <w:rPr>
          <w:rFonts w:ascii="Open Sans" w:hAnsi="Open Sans" w:cs="Open Sans"/>
          <w:color w:val="262626" w:themeColor="text1"/>
        </w:rPr>
        <w:t xml:space="preserve">Experiences of </w:t>
      </w:r>
      <w:r w:rsidR="76B7B95B" w:rsidRPr="00493AC6">
        <w:rPr>
          <w:rFonts w:ascii="Open Sans" w:hAnsi="Open Sans" w:cs="Open Sans"/>
          <w:color w:val="262626" w:themeColor="text1"/>
        </w:rPr>
        <w:t>Financial hardship</w:t>
      </w:r>
      <w:r w:rsidR="00D31A66" w:rsidRPr="00493AC6">
        <w:rPr>
          <w:rFonts w:ascii="Open Sans" w:hAnsi="Open Sans" w:cs="Open Sans"/>
          <w:color w:val="262626" w:themeColor="text1"/>
        </w:rPr>
        <w:t xml:space="preserve"> whilst seeking a refuge space</w:t>
      </w:r>
      <w:r w:rsidR="76B7B95B" w:rsidRPr="00493AC6">
        <w:rPr>
          <w:rFonts w:ascii="Open Sans" w:hAnsi="Open Sans" w:cs="Open Sans"/>
          <w:color w:val="262626" w:themeColor="text1"/>
        </w:rPr>
        <w:t xml:space="preserve"> report, one survivor talked about the difficulty of having to sleep in a communal area and not having a private place to </w:t>
      </w:r>
      <w:r w:rsidR="3D6CBDE4" w:rsidRPr="00493AC6">
        <w:rPr>
          <w:rFonts w:ascii="Open Sans" w:hAnsi="Open Sans" w:cs="Open Sans"/>
          <w:color w:val="262626" w:themeColor="text1"/>
        </w:rPr>
        <w:t xml:space="preserve">emotionally </w:t>
      </w:r>
      <w:r w:rsidR="76B7B95B" w:rsidRPr="00493AC6">
        <w:rPr>
          <w:rFonts w:ascii="Open Sans" w:hAnsi="Open Sans" w:cs="Open Sans"/>
          <w:color w:val="262626" w:themeColor="text1"/>
        </w:rPr>
        <w:t>process the domestic abuse and sexual expl</w:t>
      </w:r>
      <w:r w:rsidR="5EFB2896" w:rsidRPr="00493AC6">
        <w:rPr>
          <w:rFonts w:ascii="Open Sans" w:hAnsi="Open Sans" w:cs="Open Sans"/>
          <w:color w:val="262626" w:themeColor="text1"/>
        </w:rPr>
        <w:t>oitation that she had just fled</w:t>
      </w:r>
      <w:r w:rsidR="0C7AD9AA" w:rsidRPr="00493AC6">
        <w:rPr>
          <w:rFonts w:ascii="Open Sans" w:hAnsi="Open Sans" w:cs="Open Sans"/>
          <w:color w:val="262626" w:themeColor="text1"/>
        </w:rPr>
        <w:t xml:space="preserve">. However, the survivors accommodated in emergency accommodation or hotels often struggled </w:t>
      </w:r>
      <w:r w:rsidR="31789C68" w:rsidRPr="00493AC6">
        <w:rPr>
          <w:rFonts w:ascii="Open Sans" w:hAnsi="Open Sans" w:cs="Open Sans"/>
          <w:color w:val="262626" w:themeColor="text1"/>
        </w:rPr>
        <w:t>particularly when it came to affording essentials, due to lack of cooking facilities making meals more expensive</w:t>
      </w:r>
      <w:r w:rsidR="5EFB2896" w:rsidRPr="00493AC6">
        <w:rPr>
          <w:rFonts w:ascii="Open Sans" w:hAnsi="Open Sans" w:cs="Open Sans"/>
          <w:color w:val="262626" w:themeColor="text1"/>
        </w:rPr>
        <w:t xml:space="preserve"> (Women’s Aid, 2022</w:t>
      </w:r>
      <w:r w:rsidR="00321A5F" w:rsidRPr="00493AC6">
        <w:rPr>
          <w:rFonts w:ascii="Open Sans" w:hAnsi="Open Sans" w:cs="Open Sans"/>
          <w:color w:val="262626" w:themeColor="text1"/>
        </w:rPr>
        <w:t>b</w:t>
      </w:r>
      <w:r w:rsidR="5EFB2896" w:rsidRPr="00493AC6">
        <w:rPr>
          <w:rFonts w:ascii="Open Sans" w:hAnsi="Open Sans" w:cs="Open Sans"/>
          <w:color w:val="262626" w:themeColor="text1"/>
        </w:rPr>
        <w:t>).</w:t>
      </w:r>
    </w:p>
    <w:p w14:paraId="276A61CE" w14:textId="038EDFCB" w:rsidR="003B7EF1" w:rsidRPr="00493AC6" w:rsidRDefault="0092460F" w:rsidP="007E72F1">
      <w:pPr>
        <w:rPr>
          <w:rFonts w:ascii="Open Sans" w:hAnsi="Open Sans" w:cs="Open Sans"/>
          <w:color w:val="262626" w:themeColor="text1"/>
        </w:rPr>
      </w:pPr>
      <w:r w:rsidRPr="00493AC6">
        <w:rPr>
          <w:rFonts w:ascii="Open Sans" w:hAnsi="Open Sans" w:cs="Open Sans"/>
          <w:color w:val="262626" w:themeColor="text1"/>
          <w:lang w:val="en-US"/>
        </w:rPr>
        <w:lastRenderedPageBreak/>
        <w:t>We have seen a continuation of last year’s trend in a</w:t>
      </w:r>
      <w:r w:rsidR="4DE47DB9" w:rsidRPr="00493AC6">
        <w:rPr>
          <w:rFonts w:ascii="Open Sans" w:hAnsi="Open Sans" w:cs="Open Sans"/>
          <w:color w:val="262626" w:themeColor="text1"/>
          <w:lang w:val="en-US"/>
        </w:rPr>
        <w:t xml:space="preserve"> smaller proportion of women sofa-surfing </w:t>
      </w:r>
      <w:r w:rsidR="222F1899" w:rsidRPr="00493AC6">
        <w:rPr>
          <w:rFonts w:ascii="Open Sans" w:hAnsi="Open Sans" w:cs="Open Sans"/>
          <w:color w:val="262626" w:themeColor="text1"/>
          <w:lang w:val="en-US"/>
        </w:rPr>
        <w:t xml:space="preserve">compared to </w:t>
      </w:r>
      <w:r w:rsidR="4DE47DB9" w:rsidRPr="00493AC6">
        <w:rPr>
          <w:rFonts w:ascii="Open Sans" w:hAnsi="Open Sans" w:cs="Open Sans"/>
          <w:color w:val="262626" w:themeColor="text1"/>
          <w:lang w:val="en-US"/>
        </w:rPr>
        <w:t>previous years,</w:t>
      </w:r>
      <w:r w:rsidR="002B2550" w:rsidRPr="00493AC6">
        <w:rPr>
          <w:rStyle w:val="FootnoteReference"/>
          <w:rFonts w:ascii="Open Sans" w:hAnsi="Open Sans" w:cs="Open Sans"/>
          <w:color w:val="262626" w:themeColor="text1"/>
          <w:lang w:val="en-US"/>
        </w:rPr>
        <w:footnoteReference w:id="27"/>
      </w:r>
      <w:r w:rsidR="222F1899" w:rsidRPr="00493AC6">
        <w:rPr>
          <w:rFonts w:ascii="Open Sans" w:hAnsi="Open Sans" w:cs="Open Sans"/>
          <w:color w:val="262626" w:themeColor="text1"/>
          <w:lang w:val="en-US"/>
        </w:rPr>
        <w:t xml:space="preserve"> </w:t>
      </w:r>
      <w:r w:rsidR="4DE47DB9" w:rsidRPr="00493AC6">
        <w:rPr>
          <w:rFonts w:ascii="Open Sans" w:hAnsi="Open Sans" w:cs="Open Sans"/>
          <w:color w:val="262626" w:themeColor="text1"/>
          <w:lang w:val="en-US"/>
        </w:rPr>
        <w:t>along with a larger proportion staying in emergency accommodation compared to previous years.</w:t>
      </w:r>
      <w:r w:rsidR="002B2550" w:rsidRPr="00493AC6">
        <w:rPr>
          <w:rStyle w:val="FootnoteReference"/>
          <w:rFonts w:ascii="Open Sans" w:hAnsi="Open Sans" w:cs="Open Sans"/>
          <w:color w:val="262626" w:themeColor="text1"/>
          <w:sz w:val="20"/>
          <w:lang w:val="en-US"/>
        </w:rPr>
        <w:footnoteReference w:id="28"/>
      </w:r>
      <w:r w:rsidR="6FF10507" w:rsidRPr="00493AC6">
        <w:rPr>
          <w:rFonts w:ascii="Open Sans" w:hAnsi="Open Sans" w:cs="Open Sans"/>
          <w:color w:val="262626" w:themeColor="text1"/>
          <w:lang w:val="en-US"/>
        </w:rPr>
        <w:t xml:space="preserve"> This reversal</w:t>
      </w:r>
      <w:r w:rsidR="508AC561" w:rsidRPr="00493AC6">
        <w:rPr>
          <w:rFonts w:ascii="Open Sans" w:hAnsi="Open Sans" w:cs="Open Sans"/>
          <w:color w:val="262626" w:themeColor="text1"/>
          <w:lang w:val="en-US"/>
        </w:rPr>
        <w:t xml:space="preserve"> is</w:t>
      </w:r>
      <w:r w:rsidR="6FF10507" w:rsidRPr="00493AC6">
        <w:rPr>
          <w:rFonts w:ascii="Open Sans" w:hAnsi="Open Sans" w:cs="Open Sans"/>
          <w:color w:val="262626" w:themeColor="text1"/>
          <w:lang w:val="en-US"/>
        </w:rPr>
        <w:t xml:space="preserve"> likely to be, in part, a consequence of the Covid-19 pandemic and associated lockdown rules</w:t>
      </w:r>
      <w:r w:rsidR="44232BEF" w:rsidRPr="00493AC6">
        <w:rPr>
          <w:rFonts w:ascii="Open Sans" w:hAnsi="Open Sans" w:cs="Open Sans"/>
          <w:color w:val="262626" w:themeColor="text1"/>
          <w:lang w:val="en-US"/>
        </w:rPr>
        <w:t xml:space="preserve">. In fact, last year four survivors </w:t>
      </w:r>
      <w:r w:rsidR="44232BEF" w:rsidRPr="00493AC6">
        <w:rPr>
          <w:rFonts w:ascii="Open Sans" w:hAnsi="Open Sans" w:cs="Open Sans"/>
          <w:color w:val="262626" w:themeColor="text1"/>
        </w:rPr>
        <w:t>supported by the project told us that they had been prevented from staying with friends or relatives due to the Covid-19 pandemic (Women’s Aid, 2021</w:t>
      </w:r>
      <w:r w:rsidR="007D6CB1" w:rsidRPr="00493AC6">
        <w:rPr>
          <w:rFonts w:ascii="Open Sans" w:hAnsi="Open Sans" w:cs="Open Sans"/>
          <w:color w:val="262626" w:themeColor="text1"/>
        </w:rPr>
        <w:t>a</w:t>
      </w:r>
      <w:r w:rsidR="44232BEF" w:rsidRPr="00493AC6">
        <w:rPr>
          <w:rFonts w:ascii="Open Sans" w:hAnsi="Open Sans" w:cs="Open Sans"/>
          <w:color w:val="262626" w:themeColor="text1"/>
        </w:rPr>
        <w:t>).</w:t>
      </w:r>
      <w:r w:rsidR="35D8B222" w:rsidRPr="00493AC6">
        <w:rPr>
          <w:rFonts w:ascii="Open Sans" w:hAnsi="Open Sans" w:cs="Open Sans"/>
          <w:color w:val="262626" w:themeColor="text1"/>
        </w:rPr>
        <w:t xml:space="preserve"> Another explanation could be linked to </w:t>
      </w:r>
      <w:r w:rsidR="4DD6AA2B" w:rsidRPr="00493AC6">
        <w:rPr>
          <w:rFonts w:ascii="Open Sans" w:hAnsi="Open Sans" w:cs="Open Sans"/>
          <w:color w:val="262626" w:themeColor="text1"/>
        </w:rPr>
        <w:t xml:space="preserve">the passing of the Domestic Abuse Act 2021, placing a statutory duty </w:t>
      </w:r>
      <w:r w:rsidR="7634C200" w:rsidRPr="00493AC6">
        <w:rPr>
          <w:rFonts w:ascii="Open Sans" w:hAnsi="Open Sans" w:cs="Open Sans"/>
          <w:color w:val="262626" w:themeColor="text1"/>
        </w:rPr>
        <w:t xml:space="preserve">on all local authorities to accommodate </w:t>
      </w:r>
      <w:r w:rsidR="569026FD" w:rsidRPr="00493AC6">
        <w:rPr>
          <w:rFonts w:ascii="Open Sans" w:hAnsi="Open Sans" w:cs="Open Sans"/>
          <w:color w:val="262626" w:themeColor="text1"/>
        </w:rPr>
        <w:t>survivors and their children, regardless of whether they have a local connection to that authority (</w:t>
      </w:r>
      <w:r w:rsidR="12362C8C" w:rsidRPr="00493AC6">
        <w:rPr>
          <w:rFonts w:ascii="Open Sans" w:hAnsi="Open Sans" w:cs="Open Sans"/>
          <w:color w:val="262626" w:themeColor="text1"/>
        </w:rPr>
        <w:t>Home Office, 2022</w:t>
      </w:r>
      <w:r w:rsidR="569026FD" w:rsidRPr="00493AC6">
        <w:rPr>
          <w:rFonts w:ascii="Open Sans" w:hAnsi="Open Sans" w:cs="Open Sans"/>
          <w:color w:val="262626" w:themeColor="text1"/>
        </w:rPr>
        <w:t>).</w:t>
      </w:r>
      <w:r w:rsidR="230C7E88" w:rsidRPr="00493AC6">
        <w:rPr>
          <w:rFonts w:ascii="Open Sans" w:hAnsi="Open Sans" w:cs="Open Sans"/>
          <w:color w:val="262626" w:themeColor="text1"/>
        </w:rPr>
        <w:t xml:space="preserve"> However, this reversal is similar to </w:t>
      </w:r>
      <w:r w:rsidR="38E324D3" w:rsidRPr="00493AC6">
        <w:rPr>
          <w:rFonts w:ascii="Open Sans" w:hAnsi="Open Sans" w:cs="Open Sans"/>
          <w:color w:val="262626" w:themeColor="text1"/>
        </w:rPr>
        <w:t xml:space="preserve">the previous </w:t>
      </w:r>
      <w:r w:rsidR="00610F17" w:rsidRPr="00493AC6">
        <w:rPr>
          <w:rFonts w:ascii="Open Sans" w:hAnsi="Open Sans" w:cs="Open Sans"/>
          <w:color w:val="262626" w:themeColor="text1"/>
        </w:rPr>
        <w:t>year</w:t>
      </w:r>
      <w:r w:rsidR="38E324D3" w:rsidRPr="00493AC6">
        <w:rPr>
          <w:rFonts w:ascii="Open Sans" w:hAnsi="Open Sans" w:cs="Open Sans"/>
          <w:color w:val="262626" w:themeColor="text1"/>
        </w:rPr>
        <w:t>,</w:t>
      </w:r>
      <w:r w:rsidR="230C7E88" w:rsidRPr="00493AC6">
        <w:rPr>
          <w:rFonts w:ascii="Open Sans" w:hAnsi="Open Sans" w:cs="Open Sans"/>
          <w:color w:val="262626" w:themeColor="text1"/>
        </w:rPr>
        <w:t xml:space="preserve"> and therefore it is too early to det</w:t>
      </w:r>
      <w:r w:rsidR="00FC41F8" w:rsidRPr="00493AC6">
        <w:rPr>
          <w:rFonts w:ascii="Open Sans" w:hAnsi="Open Sans" w:cs="Open Sans"/>
          <w:color w:val="262626" w:themeColor="text1"/>
        </w:rPr>
        <w:t>ermine if this is yet the case, particularly as it only came into force at the start of July 2021 (GOV UK, 2021).</w:t>
      </w:r>
    </w:p>
    <w:p w14:paraId="222576A2" w14:textId="77777777" w:rsidR="00CE7616" w:rsidRPr="00493AC6" w:rsidRDefault="00CE7616" w:rsidP="007E72F1">
      <w:pPr>
        <w:rPr>
          <w:rFonts w:ascii="Open Sans" w:hAnsi="Open Sans" w:cs="Open Sans"/>
          <w:color w:val="262626" w:themeColor="text1"/>
        </w:rPr>
      </w:pPr>
    </w:p>
    <w:p w14:paraId="1244EB4A" w14:textId="77777777" w:rsidR="002B6A31" w:rsidRPr="00493AC6" w:rsidRDefault="00CE7616" w:rsidP="007E72F1">
      <w:pPr>
        <w:pStyle w:val="Heading2"/>
      </w:pPr>
      <w:bookmarkStart w:id="33" w:name="_Toc104535758"/>
      <w:r w:rsidRPr="00493AC6">
        <w:t xml:space="preserve">Mixed-sex </w:t>
      </w:r>
      <w:r w:rsidR="00303946" w:rsidRPr="00493AC6">
        <w:t>a</w:t>
      </w:r>
      <w:r w:rsidRPr="00493AC6">
        <w:t>ccommodation</w:t>
      </w:r>
      <w:bookmarkEnd w:id="33"/>
    </w:p>
    <w:p w14:paraId="79031F77" w14:textId="0F75215B" w:rsidR="004C12FB" w:rsidRPr="00493AC6" w:rsidRDefault="00610F17" w:rsidP="007E72F1">
      <w:pPr>
        <w:rPr>
          <w:rFonts w:ascii="Open Sans" w:hAnsi="Open Sans" w:cs="Open Sans"/>
          <w:color w:val="262626" w:themeColor="text1"/>
          <w:lang w:val="en-US"/>
        </w:rPr>
      </w:pPr>
      <w:r w:rsidRPr="00493AC6">
        <w:rPr>
          <w:rFonts w:ascii="Open Sans" w:hAnsi="Open Sans" w:cs="Open Sans"/>
          <w:color w:val="262626" w:themeColor="text1"/>
          <w:lang w:val="en-US"/>
        </w:rPr>
        <w:t xml:space="preserve">Through the NWTA project we have heard from many survivors who have been placed </w:t>
      </w:r>
      <w:r w:rsidR="00303946" w:rsidRPr="00493AC6">
        <w:rPr>
          <w:rFonts w:ascii="Open Sans" w:hAnsi="Open Sans" w:cs="Open Sans"/>
          <w:color w:val="262626" w:themeColor="text1"/>
          <w:lang w:val="en-US"/>
        </w:rPr>
        <w:t xml:space="preserve">by local authorities </w:t>
      </w:r>
      <w:r w:rsidRPr="00493AC6">
        <w:rPr>
          <w:rFonts w:ascii="Open Sans" w:hAnsi="Open Sans" w:cs="Open Sans"/>
          <w:color w:val="262626" w:themeColor="text1"/>
          <w:lang w:val="en-US"/>
        </w:rPr>
        <w:t xml:space="preserve">in mixed-sex accommodation, such as temporary hostels and B&amp;B’s, whilst waiting for a refuge space. Concerned about the impact this was having on survivors, as of August 2020 we began recording when this had occurred. </w:t>
      </w:r>
      <w:r w:rsidR="07E9C52D" w:rsidRPr="00493AC6">
        <w:rPr>
          <w:rFonts w:ascii="Open Sans" w:hAnsi="Open Sans" w:cs="Open Sans"/>
          <w:color w:val="262626" w:themeColor="text1"/>
          <w:lang w:val="en-US"/>
        </w:rPr>
        <w:t xml:space="preserve">During this reporting period, </w:t>
      </w:r>
      <w:r w:rsidR="76907AC7" w:rsidRPr="00493AC6">
        <w:rPr>
          <w:rFonts w:ascii="Open Sans" w:hAnsi="Open Sans" w:cs="Open Sans"/>
          <w:color w:val="262626" w:themeColor="text1"/>
          <w:lang w:val="en-US"/>
        </w:rPr>
        <w:t xml:space="preserve">17 </w:t>
      </w:r>
      <w:r w:rsidR="07E9C52D" w:rsidRPr="00493AC6">
        <w:rPr>
          <w:rFonts w:ascii="Open Sans" w:hAnsi="Open Sans" w:cs="Open Sans"/>
          <w:color w:val="262626" w:themeColor="text1"/>
          <w:lang w:val="en-US"/>
        </w:rPr>
        <w:t xml:space="preserve">out of the 184 survivors supported by NWTA project were placed in mixed-sex accommodation whilst waiting for a refuge space. </w:t>
      </w:r>
      <w:r w:rsidR="20725D7A" w:rsidRPr="00493AC6">
        <w:rPr>
          <w:rFonts w:ascii="Open Sans" w:hAnsi="Open Sans" w:cs="Open Sans"/>
          <w:color w:val="262626" w:themeColor="text1"/>
          <w:lang w:val="en-US"/>
        </w:rPr>
        <w:t>This equates to just under 10 percent (9.2%) of these women.</w:t>
      </w:r>
      <w:r w:rsidR="63723DE9" w:rsidRPr="00493AC6">
        <w:rPr>
          <w:rFonts w:ascii="Open Sans" w:hAnsi="Open Sans" w:cs="Open Sans"/>
          <w:color w:val="262626" w:themeColor="text1"/>
          <w:lang w:val="en-US"/>
        </w:rPr>
        <w:t xml:space="preserve"> </w:t>
      </w:r>
      <w:r w:rsidR="1686EB92" w:rsidRPr="00493AC6">
        <w:rPr>
          <w:rFonts w:ascii="Open Sans" w:hAnsi="Open Sans" w:cs="Open Sans"/>
          <w:color w:val="262626" w:themeColor="text1"/>
          <w:lang w:val="en-US"/>
        </w:rPr>
        <w:t xml:space="preserve">In our </w:t>
      </w:r>
      <w:r w:rsidR="00781E60" w:rsidRPr="00493AC6">
        <w:rPr>
          <w:rFonts w:ascii="Open Sans" w:hAnsi="Open Sans" w:cs="Open Sans"/>
          <w:color w:val="262626" w:themeColor="text1"/>
          <w:lang w:val="en-US"/>
        </w:rPr>
        <w:t xml:space="preserve">Experiences of </w:t>
      </w:r>
      <w:r w:rsidR="1686EB92" w:rsidRPr="00493AC6">
        <w:rPr>
          <w:rFonts w:ascii="Open Sans" w:hAnsi="Open Sans" w:cs="Open Sans"/>
          <w:color w:val="262626" w:themeColor="text1"/>
          <w:lang w:val="en-US"/>
        </w:rPr>
        <w:t xml:space="preserve">Financial Hardship </w:t>
      </w:r>
      <w:r w:rsidR="00781E60" w:rsidRPr="00493AC6">
        <w:rPr>
          <w:rFonts w:ascii="Open Sans" w:hAnsi="Open Sans" w:cs="Open Sans"/>
          <w:color w:val="262626" w:themeColor="text1"/>
          <w:lang w:val="en-US"/>
        </w:rPr>
        <w:t xml:space="preserve">whilst seeking a refuge space </w:t>
      </w:r>
      <w:r w:rsidR="1686EB92" w:rsidRPr="00493AC6">
        <w:rPr>
          <w:rFonts w:ascii="Open Sans" w:hAnsi="Open Sans" w:cs="Open Sans"/>
          <w:color w:val="262626" w:themeColor="text1"/>
          <w:lang w:val="en-US"/>
        </w:rPr>
        <w:t>report (Women’s Aid, 2022</w:t>
      </w:r>
      <w:r w:rsidR="00781E60" w:rsidRPr="00493AC6">
        <w:rPr>
          <w:rFonts w:ascii="Open Sans" w:hAnsi="Open Sans" w:cs="Open Sans"/>
          <w:color w:val="262626" w:themeColor="text1"/>
          <w:lang w:val="en-US"/>
        </w:rPr>
        <w:t>b</w:t>
      </w:r>
      <w:r w:rsidR="1686EB92" w:rsidRPr="00493AC6">
        <w:rPr>
          <w:rFonts w:ascii="Open Sans" w:hAnsi="Open Sans" w:cs="Open Sans"/>
          <w:color w:val="262626" w:themeColor="text1"/>
          <w:lang w:val="en-US"/>
        </w:rPr>
        <w:t xml:space="preserve">), one survivor described how being placed in mixed-sex accommodation whilst waiting for a refuge space </w:t>
      </w:r>
      <w:r w:rsidR="02B0ECF0" w:rsidRPr="00493AC6">
        <w:rPr>
          <w:rFonts w:ascii="Open Sans" w:hAnsi="Open Sans" w:cs="Open Sans"/>
          <w:color w:val="262626" w:themeColor="text1"/>
          <w:lang w:val="en-US"/>
        </w:rPr>
        <w:t xml:space="preserve">meant that she was afraid to leave her room to use the bathroom or make food for herself in the kitchen. </w:t>
      </w:r>
      <w:r w:rsidR="262F686C" w:rsidRPr="00493AC6">
        <w:rPr>
          <w:rFonts w:ascii="Open Sans" w:hAnsi="Open Sans" w:cs="Open Sans"/>
          <w:color w:val="262626" w:themeColor="text1"/>
          <w:lang w:val="en-US"/>
        </w:rPr>
        <w:t xml:space="preserve">As a result, this survivor did not eat </w:t>
      </w:r>
      <w:r w:rsidR="00056C6F" w:rsidRPr="00493AC6">
        <w:rPr>
          <w:rFonts w:ascii="Open Sans" w:hAnsi="Open Sans" w:cs="Open Sans"/>
          <w:color w:val="262626" w:themeColor="text1"/>
          <w:lang w:val="en-US"/>
        </w:rPr>
        <w:t>a proper meal here at all during her stay</w:t>
      </w:r>
      <w:r w:rsidR="2F579CA0" w:rsidRPr="00493AC6">
        <w:rPr>
          <w:rFonts w:ascii="Open Sans" w:hAnsi="Open Sans" w:cs="Open Sans"/>
          <w:color w:val="262626" w:themeColor="text1"/>
          <w:lang w:val="en-US"/>
        </w:rPr>
        <w:t>.</w:t>
      </w:r>
    </w:p>
    <w:p w14:paraId="07DB112B" w14:textId="4C66582B" w:rsidR="002131A7" w:rsidRPr="00493AC6" w:rsidRDefault="63723DE9" w:rsidP="007E72F1">
      <w:pPr>
        <w:rPr>
          <w:rFonts w:ascii="Open Sans" w:hAnsi="Open Sans" w:cs="Open Sans"/>
          <w:color w:val="262626" w:themeColor="text1"/>
        </w:rPr>
      </w:pPr>
      <w:r w:rsidRPr="00493AC6">
        <w:rPr>
          <w:rFonts w:ascii="Open Sans" w:hAnsi="Open Sans" w:cs="Open Sans"/>
          <w:color w:val="262626" w:themeColor="text1"/>
        </w:rPr>
        <w:t xml:space="preserve">The Homelessness Code of Guidance states that housing authorities should provide single-sex accommodation for survivors of domestic abuse who may find sharing with a particular </w:t>
      </w:r>
      <w:r w:rsidR="00990371" w:rsidRPr="00493AC6">
        <w:rPr>
          <w:rFonts w:ascii="Open Sans" w:hAnsi="Open Sans" w:cs="Open Sans"/>
          <w:color w:val="262626" w:themeColor="text1"/>
        </w:rPr>
        <w:t>sex</w:t>
      </w:r>
      <w:r w:rsidRPr="00493AC6">
        <w:rPr>
          <w:rFonts w:ascii="Open Sans" w:hAnsi="Open Sans" w:cs="Open Sans"/>
          <w:color w:val="262626" w:themeColor="text1"/>
        </w:rPr>
        <w:t xml:space="preserve"> traumatic (</w:t>
      </w:r>
      <w:r w:rsidR="002B59B2" w:rsidRPr="00493AC6">
        <w:rPr>
          <w:rFonts w:ascii="Open Sans" w:hAnsi="Open Sans" w:cs="Open Sans"/>
          <w:color w:val="262626" w:themeColor="text1"/>
        </w:rPr>
        <w:t>DLUH</w:t>
      </w:r>
      <w:r w:rsidR="00B205C2" w:rsidRPr="00493AC6">
        <w:rPr>
          <w:rFonts w:ascii="Open Sans" w:hAnsi="Open Sans" w:cs="Open Sans"/>
          <w:color w:val="262626" w:themeColor="text1"/>
        </w:rPr>
        <w:t>C</w:t>
      </w:r>
      <w:r w:rsidR="002B59B2" w:rsidRPr="00493AC6">
        <w:rPr>
          <w:rFonts w:ascii="Open Sans" w:hAnsi="Open Sans" w:cs="Open Sans"/>
          <w:color w:val="262626" w:themeColor="text1"/>
        </w:rPr>
        <w:t>, 2022</w:t>
      </w:r>
      <w:r w:rsidRPr="00493AC6">
        <w:rPr>
          <w:rFonts w:ascii="Open Sans" w:hAnsi="Open Sans" w:cs="Open Sans"/>
          <w:color w:val="262626" w:themeColor="text1"/>
        </w:rPr>
        <w:t>).</w:t>
      </w:r>
      <w:r w:rsidR="1F02F688" w:rsidRPr="00493AC6">
        <w:rPr>
          <w:rFonts w:ascii="Open Sans" w:hAnsi="Open Sans" w:cs="Open Sans"/>
          <w:color w:val="262626" w:themeColor="text1"/>
        </w:rPr>
        <w:t xml:space="preserve"> However, we are continuing to find that local authorities do not </w:t>
      </w:r>
      <w:r w:rsidR="00990371" w:rsidRPr="00493AC6">
        <w:rPr>
          <w:rFonts w:ascii="Open Sans" w:hAnsi="Open Sans" w:cs="Open Sans"/>
          <w:color w:val="262626" w:themeColor="text1"/>
        </w:rPr>
        <w:t>always adhere to this guidance, often failing to adequately assess cases where this could be particularly detrimental to that survivor’s wellbeing and the barriers, she faces in seeking suitable refuge accommodation. F</w:t>
      </w:r>
      <w:r w:rsidR="05F14838" w:rsidRPr="00493AC6">
        <w:rPr>
          <w:rFonts w:ascii="Open Sans" w:hAnsi="Open Sans" w:cs="Open Sans"/>
          <w:color w:val="262626" w:themeColor="text1"/>
        </w:rPr>
        <w:t xml:space="preserve">or example, over 50 percent (52.9%; 9 out of 17) of </w:t>
      </w:r>
      <w:r w:rsidR="05F14838" w:rsidRPr="00493AC6">
        <w:rPr>
          <w:rFonts w:ascii="Open Sans" w:hAnsi="Open Sans" w:cs="Open Sans"/>
          <w:color w:val="262626" w:themeColor="text1"/>
        </w:rPr>
        <w:lastRenderedPageBreak/>
        <w:t xml:space="preserve">these survivors were referred to the NWTA project </w:t>
      </w:r>
      <w:r w:rsidR="35B9ECCB" w:rsidRPr="00493AC6">
        <w:rPr>
          <w:rFonts w:ascii="Open Sans" w:hAnsi="Open Sans" w:cs="Open Sans"/>
          <w:color w:val="262626" w:themeColor="text1"/>
        </w:rPr>
        <w:t xml:space="preserve">on the basis of mental health support needs. </w:t>
      </w:r>
    </w:p>
    <w:p w14:paraId="6C688BE0" w14:textId="77777777" w:rsidR="001B0E0D" w:rsidRPr="00493AC6" w:rsidRDefault="001B0E0D" w:rsidP="007E72F1">
      <w:pPr>
        <w:rPr>
          <w:rFonts w:ascii="Open Sans" w:eastAsiaTheme="majorEastAsia" w:hAnsi="Open Sans" w:cs="Open Sans"/>
          <w:color w:val="B6006C"/>
          <w:sz w:val="26"/>
          <w:szCs w:val="26"/>
        </w:rPr>
      </w:pPr>
      <w:r w:rsidRPr="00493AC6">
        <w:rPr>
          <w:rFonts w:ascii="Open Sans" w:hAnsi="Open Sans" w:cs="Open Sans"/>
          <w:color w:val="B6006C"/>
          <w:sz w:val="26"/>
          <w:szCs w:val="26"/>
        </w:rPr>
        <w:br w:type="page"/>
      </w:r>
    </w:p>
    <w:p w14:paraId="5F0D4F5F" w14:textId="5FDE40CB" w:rsidR="0095003C" w:rsidRPr="00D651DC" w:rsidRDefault="003C4EC0" w:rsidP="00D651DC">
      <w:pPr>
        <w:pStyle w:val="Heading2"/>
      </w:pPr>
      <w:bookmarkStart w:id="34" w:name="_Toc104535759"/>
      <w:r w:rsidRPr="00D651DC">
        <w:lastRenderedPageBreak/>
        <w:t>Jessica’s</w:t>
      </w:r>
      <w:r w:rsidR="001379BB" w:rsidRPr="00D651DC">
        <w:rPr>
          <w:rStyle w:val="FootnoteReference"/>
        </w:rPr>
        <w:footnoteReference w:id="29"/>
      </w:r>
      <w:r w:rsidRPr="00D651DC">
        <w:t xml:space="preserve"> story</w:t>
      </w:r>
      <w:bookmarkEnd w:id="34"/>
    </w:p>
    <w:p w14:paraId="6214AFAC" w14:textId="77777777" w:rsidR="003C4EC0" w:rsidRPr="00493AC6" w:rsidRDefault="26D6744A" w:rsidP="007E72F1">
      <w:pPr>
        <w:rPr>
          <w:rFonts w:ascii="Open Sans" w:hAnsi="Open Sans" w:cs="Open Sans"/>
          <w:color w:val="262626" w:themeColor="text1"/>
        </w:rPr>
      </w:pPr>
      <w:r w:rsidRPr="00493AC6">
        <w:rPr>
          <w:rFonts w:ascii="Open Sans" w:hAnsi="Open Sans" w:cs="Open Sans"/>
          <w:color w:val="262626" w:themeColor="text1"/>
        </w:rPr>
        <w:t xml:space="preserve">Jessica was referred to the NWTA project </w:t>
      </w:r>
      <w:r w:rsidR="001A2ABD" w:rsidRPr="00493AC6">
        <w:rPr>
          <w:rFonts w:ascii="Open Sans" w:hAnsi="Open Sans" w:cs="Open Sans"/>
          <w:color w:val="262626" w:themeColor="text1"/>
        </w:rPr>
        <w:t>by</w:t>
      </w:r>
      <w:r w:rsidRPr="00493AC6">
        <w:rPr>
          <w:rFonts w:ascii="Open Sans" w:hAnsi="Open Sans" w:cs="Open Sans"/>
          <w:color w:val="262626" w:themeColor="text1"/>
        </w:rPr>
        <w:t xml:space="preserve"> a local domestic abuse service who were unable to provide for her </w:t>
      </w:r>
      <w:r w:rsidR="129381F0" w:rsidRPr="00493AC6">
        <w:rPr>
          <w:rFonts w:ascii="Open Sans" w:hAnsi="Open Sans" w:cs="Open Sans"/>
          <w:color w:val="262626" w:themeColor="text1"/>
        </w:rPr>
        <w:t xml:space="preserve">complex </w:t>
      </w:r>
      <w:r w:rsidRPr="00493AC6">
        <w:rPr>
          <w:rFonts w:ascii="Open Sans" w:hAnsi="Open Sans" w:cs="Open Sans"/>
          <w:color w:val="262626" w:themeColor="text1"/>
        </w:rPr>
        <w:t>support needs.</w:t>
      </w:r>
      <w:r w:rsidR="766C6B09" w:rsidRPr="00493AC6">
        <w:rPr>
          <w:rFonts w:ascii="Open Sans" w:hAnsi="Open Sans" w:cs="Open Sans"/>
          <w:color w:val="262626" w:themeColor="text1"/>
        </w:rPr>
        <w:t xml:space="preserve"> Jessica’s support needs, which included a mental health diagnosis of post-traumatic stress disorder, a history of non-violent offences, and a drug-dependency that she was attempting to manage through a methadone script, were likely</w:t>
      </w:r>
      <w:r w:rsidR="0227903A" w:rsidRPr="00493AC6">
        <w:rPr>
          <w:rFonts w:ascii="Open Sans" w:hAnsi="Open Sans" w:cs="Open Sans"/>
          <w:color w:val="262626" w:themeColor="text1"/>
        </w:rPr>
        <w:t xml:space="preserve"> </w:t>
      </w:r>
      <w:r w:rsidR="766C6B09" w:rsidRPr="00493AC6">
        <w:rPr>
          <w:rFonts w:ascii="Open Sans" w:hAnsi="Open Sans" w:cs="Open Sans"/>
          <w:color w:val="262626" w:themeColor="text1"/>
        </w:rPr>
        <w:t>linked to the trauma she had experienced growing up.</w:t>
      </w:r>
    </w:p>
    <w:p w14:paraId="4EA4405C" w14:textId="77777777" w:rsidR="00FF405C" w:rsidRPr="00493AC6" w:rsidRDefault="0084140A" w:rsidP="007E72F1">
      <w:pPr>
        <w:rPr>
          <w:rFonts w:ascii="Open Sans" w:hAnsi="Open Sans" w:cs="Open Sans"/>
          <w:color w:val="262626" w:themeColor="text1"/>
        </w:rPr>
      </w:pPr>
      <w:r w:rsidRPr="00493AC6">
        <w:rPr>
          <w:rFonts w:ascii="Open Sans" w:hAnsi="Open Sans" w:cs="Open Sans"/>
          <w:color w:val="262626" w:themeColor="text1"/>
        </w:rPr>
        <w:t>As a child, Jessica had been sexually exploited by multiple perpetrators</w:t>
      </w:r>
      <w:r w:rsidR="00EE4547" w:rsidRPr="00493AC6">
        <w:rPr>
          <w:rFonts w:ascii="Open Sans" w:hAnsi="Open Sans" w:cs="Open Sans"/>
          <w:color w:val="262626" w:themeColor="text1"/>
        </w:rPr>
        <w:t xml:space="preserve">, none of whom had </w:t>
      </w:r>
      <w:r w:rsidR="003E4250" w:rsidRPr="00493AC6">
        <w:rPr>
          <w:rFonts w:ascii="Open Sans" w:hAnsi="Open Sans" w:cs="Open Sans"/>
          <w:color w:val="262626" w:themeColor="text1"/>
        </w:rPr>
        <w:t xml:space="preserve">been brought to justice. </w:t>
      </w:r>
      <w:r w:rsidR="00C81732" w:rsidRPr="00493AC6">
        <w:rPr>
          <w:rFonts w:ascii="Open Sans" w:hAnsi="Open Sans" w:cs="Open Sans"/>
          <w:color w:val="262626" w:themeColor="text1"/>
        </w:rPr>
        <w:t>As an adult, a</w:t>
      </w:r>
      <w:r w:rsidR="003E4250" w:rsidRPr="00493AC6">
        <w:rPr>
          <w:rFonts w:ascii="Open Sans" w:hAnsi="Open Sans" w:cs="Open Sans"/>
          <w:color w:val="262626" w:themeColor="text1"/>
        </w:rPr>
        <w:t xml:space="preserve">fter fleeing from domestic and sexual abuse from her partner, Jessica </w:t>
      </w:r>
      <w:r w:rsidR="00AA5433" w:rsidRPr="00493AC6">
        <w:rPr>
          <w:rFonts w:ascii="Open Sans" w:hAnsi="Open Sans" w:cs="Open Sans"/>
          <w:color w:val="262626" w:themeColor="text1"/>
        </w:rPr>
        <w:t>was sofa-surfing</w:t>
      </w:r>
      <w:r w:rsidR="003E2F6F" w:rsidRPr="00493AC6">
        <w:rPr>
          <w:rFonts w:ascii="Open Sans" w:hAnsi="Open Sans" w:cs="Open Sans"/>
          <w:color w:val="262626" w:themeColor="text1"/>
        </w:rPr>
        <w:t xml:space="preserve"> with the</w:t>
      </w:r>
      <w:r w:rsidR="00C36464" w:rsidRPr="00493AC6">
        <w:rPr>
          <w:rFonts w:ascii="Open Sans" w:hAnsi="Open Sans" w:cs="Open Sans"/>
          <w:color w:val="262626" w:themeColor="text1"/>
        </w:rPr>
        <w:t xml:space="preserve"> only friend</w:t>
      </w:r>
      <w:r w:rsidR="003E2F6F" w:rsidRPr="00493AC6">
        <w:rPr>
          <w:rFonts w:ascii="Open Sans" w:hAnsi="Open Sans" w:cs="Open Sans"/>
          <w:color w:val="262626" w:themeColor="text1"/>
        </w:rPr>
        <w:t xml:space="preserve"> she had</w:t>
      </w:r>
      <w:r w:rsidR="00EE4547" w:rsidRPr="00493AC6">
        <w:rPr>
          <w:rFonts w:ascii="Open Sans" w:hAnsi="Open Sans" w:cs="Open Sans"/>
          <w:color w:val="262626" w:themeColor="text1"/>
        </w:rPr>
        <w:t xml:space="preserve">; a male, </w:t>
      </w:r>
      <w:r w:rsidR="00C36464" w:rsidRPr="00493AC6">
        <w:rPr>
          <w:rFonts w:ascii="Open Sans" w:hAnsi="Open Sans" w:cs="Open Sans"/>
          <w:color w:val="262626" w:themeColor="text1"/>
        </w:rPr>
        <w:t>who</w:t>
      </w:r>
      <w:r w:rsidR="003E2F6F" w:rsidRPr="00493AC6">
        <w:rPr>
          <w:rFonts w:ascii="Open Sans" w:hAnsi="Open Sans" w:cs="Open Sans"/>
          <w:color w:val="262626" w:themeColor="text1"/>
        </w:rPr>
        <w:t xml:space="preserve"> </w:t>
      </w:r>
      <w:r w:rsidR="00ED6455" w:rsidRPr="00493AC6">
        <w:rPr>
          <w:rFonts w:ascii="Open Sans" w:hAnsi="Open Sans" w:cs="Open Sans"/>
          <w:color w:val="262626" w:themeColor="text1"/>
        </w:rPr>
        <w:t>was sometimes</w:t>
      </w:r>
      <w:r w:rsidR="00C36464" w:rsidRPr="00493AC6">
        <w:rPr>
          <w:rFonts w:ascii="Open Sans" w:hAnsi="Open Sans" w:cs="Open Sans"/>
          <w:color w:val="262626" w:themeColor="text1"/>
        </w:rPr>
        <w:t xml:space="preserve"> obsessive and </w:t>
      </w:r>
      <w:r w:rsidR="003E2F6F" w:rsidRPr="00493AC6">
        <w:rPr>
          <w:rFonts w:ascii="Open Sans" w:hAnsi="Open Sans" w:cs="Open Sans"/>
          <w:color w:val="262626" w:themeColor="text1"/>
        </w:rPr>
        <w:t>controlling</w:t>
      </w:r>
      <w:r w:rsidR="00ED6455" w:rsidRPr="00493AC6">
        <w:rPr>
          <w:rFonts w:ascii="Open Sans" w:hAnsi="Open Sans" w:cs="Open Sans"/>
          <w:color w:val="262626" w:themeColor="text1"/>
        </w:rPr>
        <w:t xml:space="preserve"> towards Jessica</w:t>
      </w:r>
      <w:r w:rsidR="003E2F6F" w:rsidRPr="00493AC6">
        <w:rPr>
          <w:rFonts w:ascii="Open Sans" w:hAnsi="Open Sans" w:cs="Open Sans"/>
          <w:color w:val="262626" w:themeColor="text1"/>
        </w:rPr>
        <w:t xml:space="preserve">. </w:t>
      </w:r>
      <w:r w:rsidR="00FF405C" w:rsidRPr="00493AC6">
        <w:rPr>
          <w:rFonts w:ascii="Open Sans" w:hAnsi="Open Sans" w:cs="Open Sans"/>
          <w:color w:val="262626" w:themeColor="text1"/>
        </w:rPr>
        <w:t xml:space="preserve">At one point this meant Jessica became extremely difficult to contact, because this man was </w:t>
      </w:r>
      <w:r w:rsidR="00F60D4A" w:rsidRPr="00493AC6">
        <w:rPr>
          <w:rFonts w:ascii="Open Sans" w:hAnsi="Open Sans" w:cs="Open Sans"/>
          <w:color w:val="262626" w:themeColor="text1"/>
        </w:rPr>
        <w:t>preventing her from speaking to other people.</w:t>
      </w:r>
    </w:p>
    <w:p w14:paraId="0E45F253" w14:textId="7B5C2E4D" w:rsidR="00B130CA" w:rsidRPr="00493AC6" w:rsidRDefault="608E967C" w:rsidP="007E72F1">
      <w:pPr>
        <w:rPr>
          <w:rFonts w:ascii="Open Sans" w:hAnsi="Open Sans" w:cs="Open Sans"/>
          <w:color w:val="262626" w:themeColor="text1"/>
        </w:rPr>
      </w:pPr>
      <w:r w:rsidRPr="00493AC6">
        <w:rPr>
          <w:rFonts w:ascii="Open Sans" w:hAnsi="Open Sans" w:cs="Open Sans"/>
          <w:color w:val="262626" w:themeColor="text1"/>
        </w:rPr>
        <w:t xml:space="preserve">Due to Jessica’s support needs around drugs and mental health, it was proving extremely difficult </w:t>
      </w:r>
      <w:r w:rsidR="0227903A" w:rsidRPr="00493AC6">
        <w:rPr>
          <w:rFonts w:ascii="Open Sans" w:hAnsi="Open Sans" w:cs="Open Sans"/>
          <w:color w:val="262626" w:themeColor="text1"/>
        </w:rPr>
        <w:t xml:space="preserve">for the NWTA </w:t>
      </w:r>
      <w:r w:rsidR="001A2ABD" w:rsidRPr="00493AC6">
        <w:rPr>
          <w:rFonts w:ascii="Open Sans" w:hAnsi="Open Sans" w:cs="Open Sans"/>
          <w:color w:val="262626" w:themeColor="text1"/>
        </w:rPr>
        <w:t xml:space="preserve">practitioner </w:t>
      </w:r>
      <w:r w:rsidRPr="00493AC6">
        <w:rPr>
          <w:rFonts w:ascii="Open Sans" w:hAnsi="Open Sans" w:cs="Open Sans"/>
          <w:color w:val="262626" w:themeColor="text1"/>
        </w:rPr>
        <w:t xml:space="preserve">to find </w:t>
      </w:r>
      <w:r w:rsidR="3FB1515D" w:rsidRPr="00493AC6">
        <w:rPr>
          <w:rFonts w:ascii="Open Sans" w:hAnsi="Open Sans" w:cs="Open Sans"/>
          <w:color w:val="262626" w:themeColor="text1"/>
        </w:rPr>
        <w:t xml:space="preserve">her </w:t>
      </w:r>
      <w:r w:rsidRPr="00493AC6">
        <w:rPr>
          <w:rFonts w:ascii="Open Sans" w:hAnsi="Open Sans" w:cs="Open Sans"/>
          <w:color w:val="262626" w:themeColor="text1"/>
        </w:rPr>
        <w:t xml:space="preserve">suitable refuge accommodation. Therefore, the NWTA worker </w:t>
      </w:r>
      <w:r w:rsidR="3FB1515D" w:rsidRPr="00493AC6">
        <w:rPr>
          <w:rFonts w:ascii="Open Sans" w:hAnsi="Open Sans" w:cs="Open Sans"/>
          <w:color w:val="262626" w:themeColor="text1"/>
        </w:rPr>
        <w:t>liaised with the local housing team, who</w:t>
      </w:r>
      <w:r w:rsidR="001A2ABD" w:rsidRPr="00493AC6">
        <w:rPr>
          <w:rFonts w:ascii="Open Sans" w:hAnsi="Open Sans" w:cs="Open Sans"/>
          <w:color w:val="262626" w:themeColor="text1"/>
        </w:rPr>
        <w:t xml:space="preserve"> despite the NWTA practitioner’s best efforts</w:t>
      </w:r>
      <w:r w:rsidR="4FA04065" w:rsidRPr="00493AC6">
        <w:rPr>
          <w:rFonts w:ascii="Open Sans" w:hAnsi="Open Sans" w:cs="Open Sans"/>
          <w:color w:val="262626" w:themeColor="text1"/>
        </w:rPr>
        <w:t>,</w:t>
      </w:r>
      <w:r w:rsidR="260F402C" w:rsidRPr="00493AC6">
        <w:rPr>
          <w:rFonts w:ascii="Open Sans" w:hAnsi="Open Sans" w:cs="Open Sans"/>
          <w:color w:val="262626" w:themeColor="text1"/>
        </w:rPr>
        <w:t xml:space="preserve"> placed</w:t>
      </w:r>
      <w:r w:rsidR="001A2ABD" w:rsidRPr="00493AC6">
        <w:rPr>
          <w:rFonts w:ascii="Open Sans" w:hAnsi="Open Sans" w:cs="Open Sans"/>
          <w:color w:val="262626" w:themeColor="text1"/>
        </w:rPr>
        <w:t xml:space="preserve"> Jessica</w:t>
      </w:r>
      <w:r w:rsidR="4FA04065" w:rsidRPr="00493AC6">
        <w:rPr>
          <w:rFonts w:ascii="Open Sans" w:hAnsi="Open Sans" w:cs="Open Sans"/>
          <w:color w:val="262626" w:themeColor="text1"/>
        </w:rPr>
        <w:t xml:space="preserve"> in a mixed-sex </w:t>
      </w:r>
      <w:r w:rsidR="707A046C" w:rsidRPr="00493AC6">
        <w:rPr>
          <w:rFonts w:ascii="Open Sans" w:hAnsi="Open Sans" w:cs="Open Sans"/>
          <w:color w:val="262626" w:themeColor="text1"/>
        </w:rPr>
        <w:t xml:space="preserve">homeless hotel. </w:t>
      </w:r>
      <w:r w:rsidR="00817101" w:rsidRPr="00493AC6">
        <w:rPr>
          <w:rFonts w:ascii="Open Sans" w:hAnsi="Open Sans" w:cs="Open Sans"/>
          <w:color w:val="262626" w:themeColor="text1"/>
        </w:rPr>
        <w:t xml:space="preserve">In this accommodation </w:t>
      </w:r>
      <w:r w:rsidR="001A2ABD" w:rsidRPr="00493AC6">
        <w:rPr>
          <w:rFonts w:ascii="Open Sans" w:hAnsi="Open Sans" w:cs="Open Sans"/>
          <w:color w:val="262626" w:themeColor="text1"/>
        </w:rPr>
        <w:t xml:space="preserve">Jessica befriended a man who was able to buy drugs for her, leading Jessica to relapse and miss her upcoming drugs test. </w:t>
      </w:r>
      <w:r w:rsidR="00D25409" w:rsidRPr="00493AC6">
        <w:rPr>
          <w:rFonts w:ascii="Open Sans" w:hAnsi="Open Sans" w:cs="Open Sans"/>
          <w:color w:val="262626" w:themeColor="text1"/>
        </w:rPr>
        <w:lastRenderedPageBreak/>
        <w:t>Not long after Jessica was assaulted by this man and had to flee the accommodation in order to be safe from him.</w:t>
      </w:r>
      <w:r w:rsidR="00B130CA" w:rsidRPr="00493AC6">
        <w:rPr>
          <w:rFonts w:ascii="Open Sans" w:hAnsi="Open Sans" w:cs="Open Sans"/>
          <w:color w:val="262626" w:themeColor="text1"/>
        </w:rPr>
        <w:t xml:space="preserve"> </w:t>
      </w:r>
      <w:r w:rsidR="00D64BC0" w:rsidRPr="00493AC6">
        <w:rPr>
          <w:rFonts w:ascii="Open Sans" w:hAnsi="Open Sans" w:cs="Open Sans"/>
          <w:color w:val="262626" w:themeColor="text1"/>
        </w:rPr>
        <w:t>Unfortunately, the fact that Jessica had relapsed meant that the refuges Jessica was able to access became even further restricted, as she would be understood as currently using drugs.</w:t>
      </w:r>
      <w:r w:rsidR="008F04BD" w:rsidRPr="00493AC6">
        <w:rPr>
          <w:rFonts w:ascii="Open Sans" w:hAnsi="Open Sans" w:cs="Open Sans"/>
          <w:color w:val="262626" w:themeColor="text1"/>
        </w:rPr>
        <w:t xml:space="preserve"> </w:t>
      </w:r>
    </w:p>
    <w:p w14:paraId="2C6E1905" w14:textId="5B94A533" w:rsidR="00D25409" w:rsidRPr="00493AC6" w:rsidRDefault="008F04BD" w:rsidP="007E72F1">
      <w:pPr>
        <w:rPr>
          <w:rFonts w:ascii="Open Sans" w:hAnsi="Open Sans" w:cs="Open Sans"/>
          <w:color w:val="262626" w:themeColor="text1"/>
        </w:rPr>
      </w:pPr>
      <w:r w:rsidRPr="00493AC6">
        <w:rPr>
          <w:rFonts w:ascii="Open Sans" w:hAnsi="Open Sans" w:cs="Open Sans"/>
          <w:color w:val="262626" w:themeColor="text1"/>
        </w:rPr>
        <w:t>U</w:t>
      </w:r>
      <w:r w:rsidR="00491F8A" w:rsidRPr="00493AC6">
        <w:rPr>
          <w:rFonts w:ascii="Open Sans" w:hAnsi="Open Sans" w:cs="Open Sans"/>
          <w:color w:val="262626" w:themeColor="text1"/>
        </w:rPr>
        <w:t xml:space="preserve">nfortunately, after this </w:t>
      </w:r>
      <w:r w:rsidRPr="00493AC6">
        <w:rPr>
          <w:rFonts w:ascii="Open Sans" w:hAnsi="Open Sans" w:cs="Open Sans"/>
          <w:color w:val="262626" w:themeColor="text1"/>
        </w:rPr>
        <w:t xml:space="preserve">Jessica gradually began to disengage from the professionals supporting her including the NWTA project. The NWTA practitioner was able to </w:t>
      </w:r>
      <w:r w:rsidR="00A44C8C" w:rsidRPr="00493AC6">
        <w:rPr>
          <w:rFonts w:ascii="Open Sans" w:hAnsi="Open Sans" w:cs="Open Sans"/>
          <w:color w:val="262626" w:themeColor="text1"/>
        </w:rPr>
        <w:t>engage her</w:t>
      </w:r>
      <w:r w:rsidRPr="00493AC6">
        <w:rPr>
          <w:rFonts w:ascii="Open Sans" w:hAnsi="Open Sans" w:cs="Open Sans"/>
          <w:color w:val="262626" w:themeColor="text1"/>
        </w:rPr>
        <w:t xml:space="preserve"> long enough </w:t>
      </w:r>
      <w:r w:rsidR="00E55C09" w:rsidRPr="00493AC6">
        <w:rPr>
          <w:rFonts w:ascii="Open Sans" w:hAnsi="Open Sans" w:cs="Open Sans"/>
          <w:color w:val="262626" w:themeColor="text1"/>
        </w:rPr>
        <w:t xml:space="preserve">until Jessica reported that she had found privately rented accommodation. </w:t>
      </w:r>
      <w:r w:rsidR="004E2C11" w:rsidRPr="00493AC6">
        <w:rPr>
          <w:rFonts w:ascii="Open Sans" w:hAnsi="Open Sans" w:cs="Open Sans"/>
          <w:color w:val="262626" w:themeColor="text1"/>
        </w:rPr>
        <w:t xml:space="preserve">Unfortunately, </w:t>
      </w:r>
      <w:r w:rsidR="00491F8A" w:rsidRPr="00493AC6">
        <w:rPr>
          <w:rFonts w:ascii="Open Sans" w:hAnsi="Open Sans" w:cs="Open Sans"/>
          <w:color w:val="262626" w:themeColor="text1"/>
        </w:rPr>
        <w:t>Jessica</w:t>
      </w:r>
      <w:r w:rsidR="004E2C11" w:rsidRPr="00493AC6">
        <w:rPr>
          <w:rFonts w:ascii="Open Sans" w:hAnsi="Open Sans" w:cs="Open Sans"/>
          <w:color w:val="262626" w:themeColor="text1"/>
        </w:rPr>
        <w:t xml:space="preserve"> disengaged completely after that and it was difficult for the NWTA practitioner to ascertain whether Jessica was safe. The NWTA practitioner </w:t>
      </w:r>
      <w:r w:rsidR="00216ADC" w:rsidRPr="00493AC6">
        <w:rPr>
          <w:rFonts w:ascii="Open Sans" w:hAnsi="Open Sans" w:cs="Open Sans"/>
          <w:color w:val="262626" w:themeColor="text1"/>
        </w:rPr>
        <w:t xml:space="preserve">let the other agencies </w:t>
      </w:r>
      <w:r w:rsidR="000A03C5" w:rsidRPr="00493AC6">
        <w:rPr>
          <w:rFonts w:ascii="Open Sans" w:hAnsi="Open Sans" w:cs="Open Sans"/>
          <w:color w:val="262626" w:themeColor="text1"/>
        </w:rPr>
        <w:t xml:space="preserve">that </w:t>
      </w:r>
      <w:r w:rsidR="00216ADC" w:rsidRPr="00493AC6">
        <w:rPr>
          <w:rFonts w:ascii="Open Sans" w:hAnsi="Open Sans" w:cs="Open Sans"/>
          <w:color w:val="262626" w:themeColor="text1"/>
        </w:rPr>
        <w:t xml:space="preserve">she had been working with know that she had no choice but to close the case </w:t>
      </w:r>
      <w:r w:rsidR="000A03C5" w:rsidRPr="00493AC6">
        <w:rPr>
          <w:rFonts w:ascii="Open Sans" w:hAnsi="Open Sans" w:cs="Open Sans"/>
          <w:color w:val="262626" w:themeColor="text1"/>
        </w:rPr>
        <w:t xml:space="preserve">after </w:t>
      </w:r>
      <w:r w:rsidR="00216ADC" w:rsidRPr="00493AC6">
        <w:rPr>
          <w:rFonts w:ascii="Open Sans" w:hAnsi="Open Sans" w:cs="Open Sans"/>
          <w:color w:val="262626" w:themeColor="text1"/>
        </w:rPr>
        <w:t xml:space="preserve">six weeks of not being able to contact </w:t>
      </w:r>
      <w:r w:rsidR="000A03C5" w:rsidRPr="00493AC6">
        <w:rPr>
          <w:rFonts w:ascii="Open Sans" w:hAnsi="Open Sans" w:cs="Open Sans"/>
          <w:color w:val="262626" w:themeColor="text1"/>
        </w:rPr>
        <w:t>her, encouraging them to let Jessica know that she can get back in touch with NWTA</w:t>
      </w:r>
      <w:r w:rsidR="002D5517" w:rsidRPr="00493AC6">
        <w:rPr>
          <w:rFonts w:ascii="Open Sans" w:hAnsi="Open Sans" w:cs="Open Sans"/>
          <w:color w:val="262626" w:themeColor="text1"/>
        </w:rPr>
        <w:t xml:space="preserve"> for further support</w:t>
      </w:r>
      <w:r w:rsidR="000A03C5" w:rsidRPr="00493AC6">
        <w:rPr>
          <w:rFonts w:ascii="Open Sans" w:hAnsi="Open Sans" w:cs="Open Sans"/>
          <w:color w:val="262626" w:themeColor="text1"/>
        </w:rPr>
        <w:t xml:space="preserve"> if she wishes in the future.</w:t>
      </w:r>
    </w:p>
    <w:p w14:paraId="423AFCAA" w14:textId="4172D5EA" w:rsidR="00EB57F1" w:rsidRPr="00493AC6" w:rsidRDefault="00C55614" w:rsidP="007E72F1">
      <w:pPr>
        <w:rPr>
          <w:rFonts w:ascii="Open Sans" w:hAnsi="Open Sans" w:cs="Open Sans"/>
          <w:color w:val="262626" w:themeColor="text1"/>
        </w:rPr>
      </w:pPr>
      <w:r w:rsidRPr="00493AC6">
        <w:rPr>
          <w:rFonts w:ascii="Open Sans" w:hAnsi="Open Sans" w:cs="Open Sans"/>
          <w:color w:val="262626" w:themeColor="text1"/>
        </w:rPr>
        <w:t>Jessica’s story</w:t>
      </w:r>
      <w:r w:rsidR="58704C7F" w:rsidRPr="00493AC6">
        <w:rPr>
          <w:rFonts w:ascii="Open Sans" w:hAnsi="Open Sans" w:cs="Open Sans"/>
          <w:color w:val="262626" w:themeColor="text1"/>
        </w:rPr>
        <w:t xml:space="preserve"> is just one example of the 17 survivors who were placed into mixed-sex accommodation </w:t>
      </w:r>
      <w:r w:rsidR="260F402C" w:rsidRPr="00493AC6">
        <w:rPr>
          <w:rFonts w:ascii="Open Sans" w:hAnsi="Open Sans" w:cs="Open Sans"/>
          <w:color w:val="262626" w:themeColor="text1"/>
        </w:rPr>
        <w:t>during their wait for a refuge</w:t>
      </w:r>
      <w:r w:rsidRPr="00493AC6">
        <w:rPr>
          <w:rFonts w:ascii="Open Sans" w:hAnsi="Open Sans" w:cs="Open Sans"/>
          <w:color w:val="262626" w:themeColor="text1"/>
        </w:rPr>
        <w:t xml:space="preserve">. </w:t>
      </w:r>
      <w:r w:rsidR="00C81732" w:rsidRPr="00493AC6">
        <w:rPr>
          <w:rFonts w:ascii="Open Sans" w:hAnsi="Open Sans" w:cs="Open Sans"/>
          <w:color w:val="262626" w:themeColor="text1"/>
        </w:rPr>
        <w:t>It</w:t>
      </w:r>
      <w:r w:rsidR="5BE872DD" w:rsidRPr="00493AC6">
        <w:rPr>
          <w:rFonts w:ascii="Open Sans" w:hAnsi="Open Sans" w:cs="Open Sans"/>
          <w:color w:val="262626" w:themeColor="text1"/>
        </w:rPr>
        <w:t xml:space="preserve"> demonstrates the lack of consideration that appears to h</w:t>
      </w:r>
      <w:r w:rsidRPr="00493AC6">
        <w:rPr>
          <w:rFonts w:ascii="Open Sans" w:hAnsi="Open Sans" w:cs="Open Sans"/>
          <w:color w:val="262626" w:themeColor="text1"/>
        </w:rPr>
        <w:t xml:space="preserve">ave been given to this decision. </w:t>
      </w:r>
      <w:r w:rsidR="1A13CA34" w:rsidRPr="00493AC6">
        <w:rPr>
          <w:rFonts w:ascii="Open Sans" w:hAnsi="Open Sans" w:cs="Open Sans"/>
          <w:color w:val="262626" w:themeColor="text1"/>
        </w:rPr>
        <w:t xml:space="preserve">Although Jessica </w:t>
      </w:r>
      <w:r w:rsidRPr="00493AC6">
        <w:rPr>
          <w:rFonts w:ascii="Open Sans" w:hAnsi="Open Sans" w:cs="Open Sans"/>
          <w:color w:val="262626" w:themeColor="text1"/>
        </w:rPr>
        <w:t>may have been</w:t>
      </w:r>
      <w:r w:rsidR="1A13CA34" w:rsidRPr="00493AC6">
        <w:rPr>
          <w:rFonts w:ascii="Open Sans" w:hAnsi="Open Sans" w:cs="Open Sans"/>
          <w:color w:val="262626" w:themeColor="text1"/>
        </w:rPr>
        <w:t xml:space="preserve"> able to access private accommodation, her relapse </w:t>
      </w:r>
      <w:r w:rsidR="7EDFC9DF" w:rsidRPr="00493AC6">
        <w:rPr>
          <w:rFonts w:ascii="Open Sans" w:hAnsi="Open Sans" w:cs="Open Sans"/>
          <w:color w:val="262626" w:themeColor="text1"/>
        </w:rPr>
        <w:t xml:space="preserve">experience </w:t>
      </w:r>
      <w:r w:rsidR="1A13CA34" w:rsidRPr="00493AC6">
        <w:rPr>
          <w:rFonts w:ascii="Open Sans" w:hAnsi="Open Sans" w:cs="Open Sans"/>
          <w:color w:val="262626" w:themeColor="text1"/>
        </w:rPr>
        <w:t xml:space="preserve">meant that </w:t>
      </w:r>
      <w:r w:rsidR="0B8F3DBC" w:rsidRPr="00493AC6">
        <w:rPr>
          <w:rFonts w:ascii="Open Sans" w:hAnsi="Open Sans" w:cs="Open Sans"/>
          <w:color w:val="262626" w:themeColor="text1"/>
        </w:rPr>
        <w:t>there were few other options available to her</w:t>
      </w:r>
      <w:r w:rsidR="1A13CA34" w:rsidRPr="00493AC6">
        <w:rPr>
          <w:rFonts w:ascii="Open Sans" w:hAnsi="Open Sans" w:cs="Open Sans"/>
          <w:color w:val="262626" w:themeColor="text1"/>
        </w:rPr>
        <w:t xml:space="preserve">. </w:t>
      </w:r>
      <w:r w:rsidR="2BD151E0" w:rsidRPr="00493AC6">
        <w:rPr>
          <w:rFonts w:ascii="Open Sans" w:hAnsi="Open Sans" w:cs="Open Sans"/>
          <w:color w:val="262626" w:themeColor="text1"/>
        </w:rPr>
        <w:t xml:space="preserve">Whilst Jessica reported that she was pleased with the outcome and support that she had received from NWTA, it </w:t>
      </w:r>
      <w:r w:rsidR="0D6E37F5" w:rsidRPr="00493AC6">
        <w:rPr>
          <w:rFonts w:ascii="Open Sans" w:hAnsi="Open Sans" w:cs="Open Sans"/>
          <w:color w:val="262626" w:themeColor="text1"/>
        </w:rPr>
        <w:t xml:space="preserve">is difficult to imagine that the path to safety </w:t>
      </w:r>
      <w:r w:rsidR="0D6E37F5" w:rsidRPr="00493AC6">
        <w:rPr>
          <w:rFonts w:ascii="Open Sans" w:hAnsi="Open Sans" w:cs="Open Sans"/>
          <w:color w:val="262626" w:themeColor="text1"/>
        </w:rPr>
        <w:lastRenderedPageBreak/>
        <w:t>and recovery will be straightforward for</w:t>
      </w:r>
      <w:r w:rsidR="6DFA6D87" w:rsidRPr="00493AC6">
        <w:rPr>
          <w:rFonts w:ascii="Open Sans" w:hAnsi="Open Sans" w:cs="Open Sans"/>
          <w:color w:val="262626" w:themeColor="text1"/>
        </w:rPr>
        <w:t xml:space="preserve"> survivors like</w:t>
      </w:r>
      <w:r w:rsidR="0D6E37F5" w:rsidRPr="00493AC6">
        <w:rPr>
          <w:rFonts w:ascii="Open Sans" w:hAnsi="Open Sans" w:cs="Open Sans"/>
          <w:color w:val="262626" w:themeColor="text1"/>
        </w:rPr>
        <w:t xml:space="preserve"> J</w:t>
      </w:r>
      <w:r w:rsidR="6DFA6D87" w:rsidRPr="00493AC6">
        <w:rPr>
          <w:rFonts w:ascii="Open Sans" w:hAnsi="Open Sans" w:cs="Open Sans"/>
          <w:color w:val="262626" w:themeColor="text1"/>
        </w:rPr>
        <w:t>essica</w:t>
      </w:r>
      <w:r w:rsidRPr="00493AC6">
        <w:rPr>
          <w:rFonts w:ascii="Open Sans" w:hAnsi="Open Sans" w:cs="Open Sans"/>
          <w:color w:val="262626" w:themeColor="text1"/>
        </w:rPr>
        <w:t xml:space="preserve"> who do</w:t>
      </w:r>
      <w:r w:rsidR="6DFA6D87" w:rsidRPr="00493AC6">
        <w:rPr>
          <w:rFonts w:ascii="Open Sans" w:hAnsi="Open Sans" w:cs="Open Sans"/>
          <w:color w:val="262626" w:themeColor="text1"/>
        </w:rPr>
        <w:t xml:space="preserve"> not have the support of the project, especially</w:t>
      </w:r>
      <w:r w:rsidR="4AA3383C" w:rsidRPr="00493AC6">
        <w:rPr>
          <w:rFonts w:ascii="Open Sans" w:hAnsi="Open Sans" w:cs="Open Sans"/>
          <w:color w:val="262626" w:themeColor="text1"/>
        </w:rPr>
        <w:t xml:space="preserve"> if statutory services fail to adequately </w:t>
      </w:r>
      <w:r w:rsidR="4A545604" w:rsidRPr="00493AC6">
        <w:rPr>
          <w:rFonts w:ascii="Open Sans" w:hAnsi="Open Sans" w:cs="Open Sans"/>
          <w:color w:val="262626" w:themeColor="text1"/>
        </w:rPr>
        <w:t>implement</w:t>
      </w:r>
      <w:r w:rsidR="22F7AB05" w:rsidRPr="00493AC6">
        <w:rPr>
          <w:rFonts w:ascii="Open Sans" w:hAnsi="Open Sans" w:cs="Open Sans"/>
          <w:color w:val="262626" w:themeColor="text1"/>
        </w:rPr>
        <w:t xml:space="preserve"> safeguarding</w:t>
      </w:r>
      <w:r w:rsidR="4A545604" w:rsidRPr="00493AC6">
        <w:rPr>
          <w:rFonts w:ascii="Open Sans" w:hAnsi="Open Sans" w:cs="Open Sans"/>
          <w:color w:val="262626" w:themeColor="text1"/>
        </w:rPr>
        <w:t xml:space="preserve"> guidance</w:t>
      </w:r>
      <w:r w:rsidR="22F7AB05" w:rsidRPr="00493AC6">
        <w:rPr>
          <w:rFonts w:ascii="Open Sans" w:hAnsi="Open Sans" w:cs="Open Sans"/>
          <w:color w:val="262626" w:themeColor="text1"/>
        </w:rPr>
        <w:t xml:space="preserve">. </w:t>
      </w:r>
      <w:r w:rsidR="0D6E37F5" w:rsidRPr="00493AC6">
        <w:rPr>
          <w:rFonts w:ascii="Open Sans" w:hAnsi="Open Sans" w:cs="Open Sans"/>
          <w:color w:val="262626" w:themeColor="text1"/>
        </w:rPr>
        <w:t xml:space="preserve"> </w:t>
      </w:r>
    </w:p>
    <w:p w14:paraId="39C9163A" w14:textId="77777777" w:rsidR="002124C6" w:rsidRPr="00493AC6" w:rsidRDefault="002124C6" w:rsidP="007E72F1">
      <w:pPr>
        <w:rPr>
          <w:rFonts w:ascii="Open Sans" w:hAnsi="Open Sans" w:cs="Open Sans"/>
          <w:color w:val="262626" w:themeColor="text1"/>
        </w:rPr>
      </w:pPr>
      <w:r w:rsidRPr="00493AC6">
        <w:rPr>
          <w:rFonts w:ascii="Open Sans" w:hAnsi="Open Sans" w:cs="Open Sans"/>
          <w:color w:val="262626" w:themeColor="text1"/>
        </w:rPr>
        <w:br w:type="page"/>
      </w:r>
    </w:p>
    <w:p w14:paraId="726688E8" w14:textId="77777777" w:rsidR="00356465" w:rsidRPr="00493AC6" w:rsidRDefault="00356465" w:rsidP="007E72F1">
      <w:pPr>
        <w:pStyle w:val="Heading2"/>
      </w:pPr>
      <w:bookmarkStart w:id="35" w:name="_Toc104535760"/>
      <w:r w:rsidRPr="00493AC6">
        <w:lastRenderedPageBreak/>
        <w:t>What happened to women whilst they waited for a refuge space?</w:t>
      </w:r>
      <w:bookmarkEnd w:id="35"/>
    </w:p>
    <w:p w14:paraId="0E4110F8" w14:textId="37B1EAAE" w:rsidR="00EB13C4" w:rsidRPr="00493AC6" w:rsidRDefault="25976030" w:rsidP="007E72F1">
      <w:pPr>
        <w:spacing w:after="0"/>
        <w:rPr>
          <w:rFonts w:ascii="Open Sans" w:hAnsi="Open Sans" w:cs="Open Sans"/>
          <w:lang w:val="en-US"/>
        </w:rPr>
      </w:pPr>
      <w:r w:rsidRPr="00493AC6">
        <w:rPr>
          <w:rFonts w:ascii="Open Sans" w:hAnsi="Open Sans" w:cs="Open Sans"/>
          <w:lang w:val="en-US"/>
        </w:rPr>
        <w:t>Unfortunately, Jessica was not the only survivor to be subjected to fu</w:t>
      </w:r>
      <w:r w:rsidR="1E3C016A" w:rsidRPr="00493AC6">
        <w:rPr>
          <w:rFonts w:ascii="Open Sans" w:hAnsi="Open Sans" w:cs="Open Sans"/>
          <w:lang w:val="en-US"/>
        </w:rPr>
        <w:t xml:space="preserve">rther </w:t>
      </w:r>
      <w:r w:rsidRPr="00493AC6">
        <w:rPr>
          <w:rFonts w:ascii="Open Sans" w:hAnsi="Open Sans" w:cs="Open Sans"/>
          <w:lang w:val="en-US"/>
        </w:rPr>
        <w:t>abuse whilst waiting for safe accommodation</w:t>
      </w:r>
      <w:r w:rsidR="1E3C016A" w:rsidRPr="00493AC6">
        <w:rPr>
          <w:rFonts w:ascii="Open Sans" w:hAnsi="Open Sans" w:cs="Open Sans"/>
          <w:lang w:val="en-US"/>
        </w:rPr>
        <w:t>. As shown in table 3, almost a third</w:t>
      </w:r>
      <w:r w:rsidR="7EAC1A8C" w:rsidRPr="00493AC6">
        <w:rPr>
          <w:rFonts w:ascii="Open Sans" w:hAnsi="Open Sans" w:cs="Open Sans"/>
          <w:lang w:val="en-US"/>
        </w:rPr>
        <w:t xml:space="preserve"> </w:t>
      </w:r>
      <w:r w:rsidR="008D0CE1" w:rsidRPr="00493AC6">
        <w:rPr>
          <w:rFonts w:ascii="Open Sans" w:hAnsi="Open Sans" w:cs="Open Sans"/>
          <w:lang w:val="en-US"/>
        </w:rPr>
        <w:t xml:space="preserve">(32.6%) </w:t>
      </w:r>
      <w:r w:rsidR="7EAC1A8C" w:rsidRPr="00493AC6">
        <w:rPr>
          <w:rFonts w:ascii="Open Sans" w:hAnsi="Open Sans" w:cs="Open Sans"/>
          <w:lang w:val="en-US"/>
        </w:rPr>
        <w:t xml:space="preserve">of survivors supported by the NWTA project disclosed that they </w:t>
      </w:r>
      <w:r w:rsidR="1E3C016A" w:rsidRPr="00493AC6">
        <w:rPr>
          <w:rFonts w:ascii="Open Sans" w:hAnsi="Open Sans" w:cs="Open Sans"/>
          <w:lang w:val="en-US"/>
        </w:rPr>
        <w:t>experienced further abuse whilst waiting for refuge.</w:t>
      </w:r>
      <w:r w:rsidR="00EB13C4" w:rsidRPr="00493AC6">
        <w:rPr>
          <w:rFonts w:ascii="Open Sans" w:hAnsi="Open Sans" w:cs="Open Sans"/>
          <w:lang w:val="en-US"/>
        </w:rPr>
        <w:t xml:space="preserve"> Alarmingly, </w:t>
      </w:r>
      <w:r w:rsidR="00375E95" w:rsidRPr="00493AC6">
        <w:rPr>
          <w:rFonts w:ascii="Open Sans" w:hAnsi="Open Sans" w:cs="Open Sans"/>
          <w:lang w:val="en-US"/>
        </w:rPr>
        <w:t>we have</w:t>
      </w:r>
      <w:r w:rsidR="00EB13C4" w:rsidRPr="00493AC6">
        <w:rPr>
          <w:rFonts w:ascii="Open Sans" w:hAnsi="Open Sans" w:cs="Open Sans"/>
          <w:lang w:val="en-US"/>
        </w:rPr>
        <w:t xml:space="preserve"> </w:t>
      </w:r>
      <w:r w:rsidR="00375E95" w:rsidRPr="00493AC6">
        <w:rPr>
          <w:rFonts w:ascii="Open Sans" w:hAnsi="Open Sans" w:cs="Open Sans"/>
          <w:lang w:val="en-US"/>
        </w:rPr>
        <w:t xml:space="preserve">seen </w:t>
      </w:r>
      <w:r w:rsidR="00BD5054" w:rsidRPr="00493AC6">
        <w:rPr>
          <w:rFonts w:ascii="Open Sans" w:hAnsi="Open Sans" w:cs="Open Sans"/>
          <w:lang w:val="en-US"/>
        </w:rPr>
        <w:t xml:space="preserve">an additional </w:t>
      </w:r>
      <w:r w:rsidR="00EB13C4" w:rsidRPr="00493AC6">
        <w:rPr>
          <w:rFonts w:ascii="Open Sans" w:hAnsi="Open Sans" w:cs="Open Sans"/>
          <w:lang w:val="en-US"/>
        </w:rPr>
        <w:t>increase</w:t>
      </w:r>
      <w:r w:rsidR="00627E75" w:rsidRPr="00493AC6">
        <w:rPr>
          <w:rFonts w:ascii="Open Sans" w:hAnsi="Open Sans" w:cs="Open Sans"/>
          <w:lang w:val="en-US"/>
        </w:rPr>
        <w:t xml:space="preserve"> compared to last year,</w:t>
      </w:r>
      <w:r w:rsidR="00EB13C4" w:rsidRPr="00493AC6">
        <w:rPr>
          <w:rFonts w:ascii="Open Sans" w:hAnsi="Open Sans" w:cs="Open Sans"/>
          <w:lang w:val="en-US"/>
        </w:rPr>
        <w:t xml:space="preserve"> in the proportions of women experiencing further abuse from the perpetrator</w:t>
      </w:r>
      <w:r w:rsidR="00627E75" w:rsidRPr="00493AC6">
        <w:rPr>
          <w:rFonts w:ascii="Open Sans" w:hAnsi="Open Sans" w:cs="Open Sans"/>
          <w:lang w:val="en-US"/>
        </w:rPr>
        <w:t xml:space="preserve">/ perpetrators whilst waiting for a refuge. This increase is </w:t>
      </w:r>
      <w:r w:rsidR="00A24FEC" w:rsidRPr="00493AC6">
        <w:rPr>
          <w:rFonts w:ascii="Open Sans" w:hAnsi="Open Sans" w:cs="Open Sans"/>
          <w:lang w:val="en-US"/>
        </w:rPr>
        <w:t>demonstrated in the line graph below</w:t>
      </w:r>
      <w:r w:rsidR="006339F8">
        <w:rPr>
          <w:rFonts w:ascii="Open Sans" w:hAnsi="Open Sans" w:cs="Open Sans"/>
          <w:lang w:val="en-US"/>
        </w:rPr>
        <w:t>.</w:t>
      </w:r>
    </w:p>
    <w:p w14:paraId="50CA7131" w14:textId="77777777" w:rsidR="00EB13C4" w:rsidRPr="00493AC6" w:rsidRDefault="00EB13C4" w:rsidP="007E72F1">
      <w:pPr>
        <w:spacing w:after="0"/>
        <w:rPr>
          <w:rFonts w:ascii="Open Sans" w:hAnsi="Open Sans" w:cs="Open Sans"/>
          <w:lang w:val="en-US"/>
        </w:rPr>
      </w:pPr>
    </w:p>
    <w:p w14:paraId="0165459D" w14:textId="77777777" w:rsidR="00A078B9" w:rsidRPr="00493AC6" w:rsidRDefault="00EB13C4" w:rsidP="007E72F1">
      <w:pPr>
        <w:spacing w:after="0"/>
        <w:rPr>
          <w:rFonts w:ascii="Open Sans" w:hAnsi="Open Sans" w:cs="Open Sans"/>
          <w:lang w:val="en-US"/>
        </w:rPr>
      </w:pPr>
      <w:r w:rsidRPr="00493AC6">
        <w:rPr>
          <w:noProof/>
          <w:lang w:eastAsia="en-GB" w:bidi="bn-IN"/>
        </w:rPr>
        <w:drawing>
          <wp:inline distT="0" distB="0" distL="0" distR="0" wp14:anchorId="675AAF0C" wp14:editId="05CECC6A">
            <wp:extent cx="5486400" cy="3200400"/>
            <wp:effectExtent l="0" t="0" r="0" b="0"/>
            <wp:docPr id="4" name="Chart 4" descr="19.1% in 2019&#10;16% in 2020&#10;29.5% in 2021&#10;32.6% in 2022&#10;" title="Line chart depicting the percentage of survivors who experienced further abuse from the perpetrator whilst waiting for refuge by reporting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3AA2B7" w14:textId="66B2D2F8" w:rsidR="006339F8" w:rsidRPr="00493AC6" w:rsidRDefault="006339F8" w:rsidP="007E72F1">
      <w:pPr>
        <w:spacing w:after="0"/>
        <w:rPr>
          <w:rFonts w:ascii="Open Sans" w:hAnsi="Open Sans" w:cs="Open Sans"/>
          <w:lang w:val="en-US"/>
        </w:rPr>
      </w:pPr>
      <w:r>
        <w:rPr>
          <w:rFonts w:ascii="Open Sans" w:hAnsi="Open Sans" w:cs="Open Sans"/>
          <w:lang w:val="en-US"/>
        </w:rPr>
        <w:t xml:space="preserve">Text description: </w:t>
      </w:r>
      <w:r w:rsidRPr="006339F8">
        <w:rPr>
          <w:rFonts w:ascii="Open Sans" w:hAnsi="Open Sans" w:cs="Open Sans"/>
          <w:lang w:val="en-US"/>
        </w:rPr>
        <w:t>19.1% in 2019</w:t>
      </w:r>
      <w:r>
        <w:rPr>
          <w:rFonts w:ascii="Open Sans" w:hAnsi="Open Sans" w:cs="Open Sans"/>
          <w:lang w:val="en-US"/>
        </w:rPr>
        <w:t xml:space="preserve">, </w:t>
      </w:r>
      <w:r w:rsidRPr="006339F8">
        <w:rPr>
          <w:rFonts w:ascii="Open Sans" w:hAnsi="Open Sans" w:cs="Open Sans"/>
          <w:lang w:val="en-US"/>
        </w:rPr>
        <w:t>16% in 2020</w:t>
      </w:r>
      <w:r>
        <w:rPr>
          <w:rFonts w:ascii="Open Sans" w:hAnsi="Open Sans" w:cs="Open Sans"/>
          <w:lang w:val="en-US"/>
        </w:rPr>
        <w:t xml:space="preserve">, </w:t>
      </w:r>
      <w:r w:rsidRPr="006339F8">
        <w:rPr>
          <w:rFonts w:ascii="Open Sans" w:hAnsi="Open Sans" w:cs="Open Sans"/>
          <w:lang w:val="en-US"/>
        </w:rPr>
        <w:t>29.5% in 2021</w:t>
      </w:r>
      <w:r>
        <w:rPr>
          <w:rFonts w:ascii="Open Sans" w:hAnsi="Open Sans" w:cs="Open Sans"/>
          <w:lang w:val="en-US"/>
        </w:rPr>
        <w:t xml:space="preserve">, </w:t>
      </w:r>
      <w:r w:rsidRPr="006339F8">
        <w:rPr>
          <w:rFonts w:ascii="Open Sans" w:hAnsi="Open Sans" w:cs="Open Sans"/>
          <w:lang w:val="en-US"/>
        </w:rPr>
        <w:t>32.6% in 2022</w:t>
      </w:r>
      <w:r>
        <w:rPr>
          <w:rFonts w:ascii="Open Sans" w:hAnsi="Open Sans" w:cs="Open Sans"/>
          <w:lang w:val="en-US"/>
        </w:rPr>
        <w:t>.</w:t>
      </w:r>
    </w:p>
    <w:p w14:paraId="2D824779" w14:textId="7CE0EF15" w:rsidR="00A24FEC" w:rsidRPr="00493AC6" w:rsidRDefault="00A24FEC" w:rsidP="007E72F1">
      <w:pPr>
        <w:spacing w:after="0"/>
        <w:rPr>
          <w:rFonts w:ascii="Open Sans" w:hAnsi="Open Sans" w:cs="Open Sans"/>
          <w:lang w:val="en-US"/>
        </w:rPr>
      </w:pPr>
      <w:r w:rsidRPr="00493AC6">
        <w:rPr>
          <w:rFonts w:ascii="Open Sans" w:hAnsi="Open Sans" w:cs="Open Sans"/>
          <w:lang w:val="en-US"/>
        </w:rPr>
        <w:t xml:space="preserve">Last year we were concerned that this increased number of survivors experiencing further abuse from the perpetrator could be related to </w:t>
      </w:r>
      <w:r w:rsidR="00924166" w:rsidRPr="00493AC6">
        <w:rPr>
          <w:rFonts w:ascii="Open Sans" w:hAnsi="Open Sans" w:cs="Open Sans"/>
          <w:lang w:val="en-US"/>
        </w:rPr>
        <w:lastRenderedPageBreak/>
        <w:t xml:space="preserve">lockdown restrictions, with survivors being unable to flee to </w:t>
      </w:r>
      <w:r w:rsidR="00BD5054" w:rsidRPr="00493AC6">
        <w:rPr>
          <w:rFonts w:ascii="Open Sans" w:hAnsi="Open Sans" w:cs="Open Sans"/>
          <w:lang w:val="en-US"/>
        </w:rPr>
        <w:t xml:space="preserve">the homes of </w:t>
      </w:r>
      <w:r w:rsidR="00924166" w:rsidRPr="00493AC6">
        <w:rPr>
          <w:rFonts w:ascii="Open Sans" w:hAnsi="Open Sans" w:cs="Open Sans"/>
          <w:lang w:val="en-US"/>
        </w:rPr>
        <w:t>family and friends, leaving them at further risk during this period (Women’s Aid, 2021</w:t>
      </w:r>
      <w:r w:rsidR="007D6CB1" w:rsidRPr="00493AC6">
        <w:rPr>
          <w:rFonts w:ascii="Open Sans" w:hAnsi="Open Sans" w:cs="Open Sans"/>
          <w:lang w:val="en-US"/>
        </w:rPr>
        <w:t>a</w:t>
      </w:r>
      <w:r w:rsidR="00924166" w:rsidRPr="00493AC6">
        <w:rPr>
          <w:rFonts w:ascii="Open Sans" w:hAnsi="Open Sans" w:cs="Open Sans"/>
          <w:lang w:val="en-US"/>
        </w:rPr>
        <w:t xml:space="preserve">). </w:t>
      </w:r>
      <w:r w:rsidR="000A0EFC" w:rsidRPr="00493AC6">
        <w:rPr>
          <w:rFonts w:ascii="Open Sans" w:hAnsi="Open Sans" w:cs="Open Sans"/>
          <w:lang w:val="en-US"/>
        </w:rPr>
        <w:t>This</w:t>
      </w:r>
      <w:r w:rsidR="00924166" w:rsidRPr="00493AC6">
        <w:rPr>
          <w:rFonts w:ascii="Open Sans" w:hAnsi="Open Sans" w:cs="Open Sans"/>
          <w:lang w:val="en-US"/>
        </w:rPr>
        <w:t xml:space="preserve"> </w:t>
      </w:r>
      <w:r w:rsidR="000A0EFC" w:rsidRPr="00493AC6">
        <w:rPr>
          <w:rFonts w:ascii="Open Sans" w:hAnsi="Open Sans" w:cs="Open Sans"/>
          <w:lang w:val="en-US"/>
        </w:rPr>
        <w:t>could again be the case for this reporting period, with the UK lockdown restrictions leaving more survivors with no option</w:t>
      </w:r>
      <w:r w:rsidR="008368F2" w:rsidRPr="00493AC6">
        <w:rPr>
          <w:rFonts w:ascii="Open Sans" w:hAnsi="Open Sans" w:cs="Open Sans"/>
          <w:lang w:val="en-US"/>
        </w:rPr>
        <w:t xml:space="preserve"> but to stay</w:t>
      </w:r>
      <w:r w:rsidR="000A0EFC" w:rsidRPr="00493AC6">
        <w:rPr>
          <w:rFonts w:ascii="Open Sans" w:hAnsi="Open Sans" w:cs="Open Sans"/>
          <w:lang w:val="en-US"/>
        </w:rPr>
        <w:t xml:space="preserve"> with the perpetrator until they could find safe accommodation. Nonetheless, this notable increase will continue to be closely monitored by the project.</w:t>
      </w:r>
    </w:p>
    <w:p w14:paraId="79FCC329" w14:textId="77777777" w:rsidR="000A0EFC" w:rsidRPr="00493AC6" w:rsidRDefault="000A0EFC" w:rsidP="007E72F1">
      <w:pPr>
        <w:spacing w:after="0"/>
        <w:rPr>
          <w:rFonts w:ascii="Open Sans" w:hAnsi="Open Sans" w:cs="Open Sans"/>
          <w:lang w:val="en-US"/>
        </w:rPr>
      </w:pPr>
    </w:p>
    <w:p w14:paraId="70D7E80D" w14:textId="251D1DFC" w:rsidR="000A0EFC" w:rsidRDefault="000A0EFC" w:rsidP="007E72F1">
      <w:pPr>
        <w:spacing w:after="0"/>
        <w:rPr>
          <w:rFonts w:ascii="Open Sans" w:hAnsi="Open Sans" w:cs="Open Sans"/>
          <w:lang w:val="en-US"/>
        </w:rPr>
      </w:pPr>
      <w:r w:rsidRPr="00493AC6">
        <w:rPr>
          <w:rFonts w:ascii="Open Sans" w:hAnsi="Open Sans" w:cs="Open Sans"/>
          <w:lang w:val="en-US"/>
        </w:rPr>
        <w:t xml:space="preserve">An additional explanation for this increase </w:t>
      </w:r>
      <w:r w:rsidR="007B3120" w:rsidRPr="00493AC6">
        <w:rPr>
          <w:rFonts w:ascii="Open Sans" w:hAnsi="Open Sans" w:cs="Open Sans"/>
          <w:lang w:val="en-US"/>
        </w:rPr>
        <w:t xml:space="preserve">could be the increased range of referral pathways since November 2019. It could be that the NWTA project is reaching </w:t>
      </w:r>
      <w:r w:rsidR="00CD5E3D" w:rsidRPr="00493AC6">
        <w:rPr>
          <w:rFonts w:ascii="Open Sans" w:hAnsi="Open Sans" w:cs="Open Sans"/>
          <w:lang w:val="en-US"/>
        </w:rPr>
        <w:t xml:space="preserve">a higher </w:t>
      </w:r>
      <w:r w:rsidR="007B3120" w:rsidRPr="00493AC6">
        <w:rPr>
          <w:rFonts w:ascii="Open Sans" w:hAnsi="Open Sans" w:cs="Open Sans"/>
          <w:lang w:val="en-US"/>
        </w:rPr>
        <w:t xml:space="preserve">number of survivors who are at higher risk of experiencing further abuse from the perpetrator via these new channels. This could be because these survivors have fewer support networks and are more likely to still be living with the perpetrator, or because they </w:t>
      </w:r>
      <w:r w:rsidR="000C1CD4" w:rsidRPr="00493AC6">
        <w:rPr>
          <w:rFonts w:ascii="Open Sans" w:hAnsi="Open Sans" w:cs="Open Sans"/>
          <w:lang w:val="en-US"/>
        </w:rPr>
        <w:t>are experiencing abuse from multiple perpetrators.</w:t>
      </w:r>
    </w:p>
    <w:p w14:paraId="69140D95" w14:textId="4F97A2A2" w:rsidR="0060701F" w:rsidRDefault="0060701F" w:rsidP="007E72F1">
      <w:pPr>
        <w:spacing w:after="0"/>
        <w:rPr>
          <w:rFonts w:ascii="Open Sans" w:hAnsi="Open Sans" w:cs="Open Sans"/>
          <w:lang w:val="en-US"/>
        </w:rPr>
      </w:pPr>
    </w:p>
    <w:p w14:paraId="074709D4" w14:textId="19D398FE" w:rsidR="0060701F" w:rsidRDefault="0060701F" w:rsidP="0060701F">
      <w:pPr>
        <w:pStyle w:val="Heading3"/>
        <w:rPr>
          <w:lang w:val="en-US"/>
        </w:rPr>
      </w:pPr>
      <w:r>
        <w:rPr>
          <w:lang w:val="en-US"/>
        </w:rPr>
        <w:t>Table 3: Survivors’ experiences while waiting for a refuge space</w:t>
      </w:r>
    </w:p>
    <w:p w14:paraId="5C26FABF" w14:textId="77777777" w:rsidR="0060701F" w:rsidRDefault="0060701F" w:rsidP="0060701F">
      <w:r w:rsidRPr="00493AC6">
        <w:t xml:space="preserve">Please note that this is a text version of a table depicting the same </w:t>
      </w:r>
      <w:r>
        <w:t>data</w:t>
      </w:r>
      <w:r w:rsidRPr="00493AC6">
        <w:t xml:space="preserve">. </w:t>
      </w:r>
      <w:r>
        <w:t>You can view this data in table format in the PDF version of this report, available on the Women’s Aid Evidence Hub.</w:t>
      </w:r>
    </w:p>
    <w:p w14:paraId="5B80B693" w14:textId="12B45C23" w:rsidR="00CE3E69" w:rsidRDefault="00CE3E69" w:rsidP="00CE3E69">
      <w:r>
        <w:t xml:space="preserve">Below is a list of the different experiences survivors had as they waited for a refuge space, and the number and percentage of women out of the 184 who were supported by the NWTA project </w:t>
      </w:r>
      <w:r>
        <w:lastRenderedPageBreak/>
        <w:t>who had the experience. Some survivors experienced more than one category.</w:t>
      </w:r>
    </w:p>
    <w:p w14:paraId="2C3F6A7B" w14:textId="0BA34E43" w:rsidR="00CE3E69" w:rsidRDefault="00CE3E69" w:rsidP="00CE3E69">
      <w:pPr>
        <w:pStyle w:val="ListParagraph"/>
        <w:numPr>
          <w:ilvl w:val="0"/>
          <w:numId w:val="17"/>
        </w:numPr>
      </w:pPr>
      <w:r>
        <w:rPr>
          <w:b/>
          <w:bCs/>
        </w:rPr>
        <w:t xml:space="preserve">60 (32.6%) </w:t>
      </w:r>
      <w:r>
        <w:t>experienced further abuse from the perpetrator</w:t>
      </w:r>
    </w:p>
    <w:p w14:paraId="12FE1B03" w14:textId="14522916" w:rsidR="00CE3E69" w:rsidRDefault="00CE3E69" w:rsidP="00CE3E69">
      <w:pPr>
        <w:pStyle w:val="ListParagraph"/>
        <w:numPr>
          <w:ilvl w:val="0"/>
          <w:numId w:val="17"/>
        </w:numPr>
      </w:pPr>
      <w:r w:rsidRPr="005D459D">
        <w:rPr>
          <w:b/>
          <w:bCs/>
        </w:rPr>
        <w:t>34 (18.5%)</w:t>
      </w:r>
      <w:r>
        <w:t xml:space="preserve"> were scared to go outside</w:t>
      </w:r>
    </w:p>
    <w:p w14:paraId="2EFEF421" w14:textId="6D54F3EC" w:rsidR="00CE3E69" w:rsidRDefault="00CE3E69" w:rsidP="00CE3E69">
      <w:pPr>
        <w:pStyle w:val="ListParagraph"/>
        <w:numPr>
          <w:ilvl w:val="0"/>
          <w:numId w:val="17"/>
        </w:numPr>
      </w:pPr>
      <w:r w:rsidRPr="005D459D">
        <w:rPr>
          <w:b/>
          <w:bCs/>
        </w:rPr>
        <w:t>26 (14.1%)</w:t>
      </w:r>
      <w:r>
        <w:t xml:space="preserve"> called the police out to respond to an incident</w:t>
      </w:r>
    </w:p>
    <w:p w14:paraId="6F1E9BCB" w14:textId="739B7DA0" w:rsidR="00CE3E69" w:rsidRDefault="00CE3E69" w:rsidP="00CE3E69">
      <w:pPr>
        <w:pStyle w:val="ListParagraph"/>
        <w:numPr>
          <w:ilvl w:val="0"/>
          <w:numId w:val="17"/>
        </w:numPr>
      </w:pPr>
      <w:r w:rsidRPr="005D459D">
        <w:rPr>
          <w:b/>
          <w:bCs/>
        </w:rPr>
        <w:t>24 (13%)</w:t>
      </w:r>
      <w:r>
        <w:t xml:space="preserve"> experienced abuse from an additional perpetrator</w:t>
      </w:r>
    </w:p>
    <w:p w14:paraId="2F2F66DA" w14:textId="63D07854" w:rsidR="00CE3E69" w:rsidRDefault="00CE3E69" w:rsidP="00CE3E69">
      <w:pPr>
        <w:pStyle w:val="ListParagraph"/>
        <w:numPr>
          <w:ilvl w:val="0"/>
          <w:numId w:val="17"/>
        </w:numPr>
      </w:pPr>
      <w:r w:rsidRPr="005D459D">
        <w:rPr>
          <w:b/>
          <w:bCs/>
        </w:rPr>
        <w:t>21 (11.4%)</w:t>
      </w:r>
      <w:r>
        <w:t xml:space="preserve"> did not have enough money to pay for essentials</w:t>
      </w:r>
    </w:p>
    <w:p w14:paraId="4FA518C3" w14:textId="1EED0BB7" w:rsidR="00CE3E69" w:rsidRDefault="00CE3E69" w:rsidP="00CE3E69">
      <w:pPr>
        <w:pStyle w:val="ListParagraph"/>
        <w:numPr>
          <w:ilvl w:val="0"/>
          <w:numId w:val="17"/>
        </w:numPr>
      </w:pPr>
      <w:r w:rsidRPr="005D459D">
        <w:rPr>
          <w:b/>
          <w:bCs/>
        </w:rPr>
        <w:t>14 (7.6%)</w:t>
      </w:r>
      <w:r>
        <w:t xml:space="preserve"> spent time as an inpatient/overnight in hospital</w:t>
      </w:r>
    </w:p>
    <w:p w14:paraId="06E72122" w14:textId="4A09896F" w:rsidR="00CE3E69" w:rsidRDefault="00CE3E69" w:rsidP="00CE3E69">
      <w:pPr>
        <w:pStyle w:val="ListParagraph"/>
        <w:numPr>
          <w:ilvl w:val="0"/>
          <w:numId w:val="17"/>
        </w:numPr>
      </w:pPr>
      <w:r w:rsidRPr="005D459D">
        <w:rPr>
          <w:b/>
          <w:bCs/>
        </w:rPr>
        <w:t>10 (5.4%)</w:t>
      </w:r>
      <w:r>
        <w:t xml:space="preserve"> were physically injured as a result of an assault from a perpetrator</w:t>
      </w:r>
    </w:p>
    <w:p w14:paraId="464FCD08" w14:textId="2E9DCAF9" w:rsidR="00CE3E69" w:rsidRDefault="00CE3E69" w:rsidP="00CE3E69">
      <w:pPr>
        <w:pStyle w:val="ListParagraph"/>
        <w:numPr>
          <w:ilvl w:val="0"/>
          <w:numId w:val="17"/>
        </w:numPr>
      </w:pPr>
      <w:r w:rsidRPr="005D459D">
        <w:rPr>
          <w:b/>
          <w:bCs/>
        </w:rPr>
        <w:t>2 (1.1%)</w:t>
      </w:r>
      <w:r>
        <w:t xml:space="preserve"> spent time in police custody</w:t>
      </w:r>
    </w:p>
    <w:p w14:paraId="016DE0D1" w14:textId="5167AAAF" w:rsidR="00B036FB" w:rsidRDefault="005D459D" w:rsidP="007E72F1">
      <w:pPr>
        <w:pStyle w:val="ListParagraph"/>
        <w:numPr>
          <w:ilvl w:val="0"/>
          <w:numId w:val="17"/>
        </w:numPr>
      </w:pPr>
      <w:r w:rsidRPr="005D459D">
        <w:rPr>
          <w:b/>
          <w:bCs/>
        </w:rPr>
        <w:t>0</w:t>
      </w:r>
      <w:r>
        <w:t xml:space="preserve"> spent time under section</w:t>
      </w:r>
      <w:r>
        <w:rPr>
          <w:rStyle w:val="FootnoteReference"/>
        </w:rPr>
        <w:footnoteReference w:id="30"/>
      </w:r>
    </w:p>
    <w:p w14:paraId="110BE9F2" w14:textId="30ACFE9A" w:rsidR="005D459D" w:rsidRPr="005D459D" w:rsidRDefault="005D459D" w:rsidP="005D459D">
      <w:r>
        <w:t>End of table data.</w:t>
      </w:r>
    </w:p>
    <w:p w14:paraId="6F565537" w14:textId="77777777" w:rsidR="00DA5366" w:rsidRPr="00493AC6" w:rsidRDefault="00DA5366" w:rsidP="007E72F1">
      <w:pPr>
        <w:rPr>
          <w:rFonts w:ascii="Open Sans" w:hAnsi="Open Sans" w:cs="Open Sans"/>
          <w:lang w:val="en-US"/>
        </w:rPr>
      </w:pPr>
      <w:r w:rsidRPr="00493AC6">
        <w:rPr>
          <w:rFonts w:ascii="Open Sans" w:hAnsi="Open Sans" w:cs="Open Sans"/>
          <w:lang w:val="en-US"/>
        </w:rPr>
        <w:t xml:space="preserve">As detailed in table 3, 14.1% of survivors called the police to respond to an incident, and 5.4% were physically injured by the perpetrator; </w:t>
      </w:r>
      <w:r w:rsidR="003C3CED" w:rsidRPr="00493AC6">
        <w:rPr>
          <w:rFonts w:ascii="Open Sans" w:hAnsi="Open Sans" w:cs="Open Sans"/>
          <w:lang w:val="en-US"/>
        </w:rPr>
        <w:t>7.6% of</w:t>
      </w:r>
      <w:r w:rsidRPr="00493AC6">
        <w:rPr>
          <w:rFonts w:ascii="Open Sans" w:hAnsi="Open Sans" w:cs="Open Sans"/>
          <w:lang w:val="en-US"/>
        </w:rPr>
        <w:t xml:space="preserve"> survivors had to stay in hospital, and 13</w:t>
      </w:r>
      <w:r w:rsidR="00F45DE1" w:rsidRPr="00493AC6">
        <w:rPr>
          <w:rFonts w:ascii="Open Sans" w:hAnsi="Open Sans" w:cs="Open Sans"/>
          <w:lang w:val="en-US"/>
        </w:rPr>
        <w:t>.0</w:t>
      </w:r>
      <w:r w:rsidRPr="00493AC6">
        <w:rPr>
          <w:rFonts w:ascii="Open Sans" w:hAnsi="Open Sans" w:cs="Open Sans"/>
          <w:lang w:val="en-US"/>
        </w:rPr>
        <w:t xml:space="preserve">% of women experienced abuse from an additional perpetrator whilst waiting for a refuge, for example whilst sofa-surfing or in temporary accommodation, or </w:t>
      </w:r>
      <w:r w:rsidR="00F45DE1" w:rsidRPr="00493AC6">
        <w:rPr>
          <w:rFonts w:ascii="Open Sans" w:hAnsi="Open Sans" w:cs="Open Sans"/>
          <w:lang w:val="en-US"/>
        </w:rPr>
        <w:t xml:space="preserve">in </w:t>
      </w:r>
      <w:r w:rsidRPr="00493AC6">
        <w:rPr>
          <w:rFonts w:ascii="Open Sans" w:hAnsi="Open Sans" w:cs="Open Sans"/>
          <w:lang w:val="en-US"/>
        </w:rPr>
        <w:t xml:space="preserve">Jessica’s </w:t>
      </w:r>
      <w:r w:rsidR="002D3332" w:rsidRPr="00493AC6">
        <w:rPr>
          <w:rFonts w:ascii="Open Sans" w:hAnsi="Open Sans" w:cs="Open Sans"/>
          <w:lang w:val="en-US"/>
        </w:rPr>
        <w:t>case</w:t>
      </w:r>
      <w:r w:rsidRPr="00493AC6">
        <w:rPr>
          <w:rFonts w:ascii="Open Sans" w:hAnsi="Open Sans" w:cs="Open Sans"/>
          <w:lang w:val="en-US"/>
        </w:rPr>
        <w:t xml:space="preserve">, </w:t>
      </w:r>
      <w:r w:rsidR="00F45DE1" w:rsidRPr="00493AC6">
        <w:rPr>
          <w:rFonts w:ascii="Open Sans" w:hAnsi="Open Sans" w:cs="Open Sans"/>
          <w:lang w:val="en-US"/>
        </w:rPr>
        <w:t>both of these</w:t>
      </w:r>
      <w:r w:rsidRPr="00493AC6">
        <w:rPr>
          <w:rFonts w:ascii="Open Sans" w:hAnsi="Open Sans" w:cs="Open Sans"/>
          <w:lang w:val="en-US"/>
        </w:rPr>
        <w:t>.</w:t>
      </w:r>
    </w:p>
    <w:p w14:paraId="28F6E8E7" w14:textId="77777777" w:rsidR="001F2756" w:rsidRPr="00493AC6" w:rsidRDefault="001F2756" w:rsidP="007E72F1">
      <w:pPr>
        <w:rPr>
          <w:rFonts w:ascii="Open Sans" w:hAnsi="Open Sans" w:cs="Open Sans"/>
          <w:lang w:val="en-US"/>
        </w:rPr>
      </w:pPr>
    </w:p>
    <w:p w14:paraId="2351AEE6" w14:textId="77777777" w:rsidR="00172FC1" w:rsidRPr="00493AC6" w:rsidRDefault="00172FC1" w:rsidP="007E72F1">
      <w:pPr>
        <w:rPr>
          <w:rFonts w:ascii="Open Sans" w:eastAsiaTheme="majorEastAsia" w:hAnsi="Open Sans" w:cs="Open Sans"/>
          <w:color w:val="B6006C"/>
          <w:sz w:val="26"/>
          <w:szCs w:val="26"/>
          <w:lang w:val="en-US"/>
        </w:rPr>
      </w:pPr>
      <w:r w:rsidRPr="00493AC6">
        <w:rPr>
          <w:rFonts w:ascii="Open Sans" w:hAnsi="Open Sans" w:cs="Open Sans"/>
          <w:color w:val="B6006C"/>
          <w:lang w:val="en-US"/>
        </w:rPr>
        <w:br w:type="page"/>
      </w:r>
    </w:p>
    <w:p w14:paraId="0FAF8440" w14:textId="77777777" w:rsidR="00F9553F" w:rsidRPr="00493AC6" w:rsidRDefault="0089170B" w:rsidP="007E72F1">
      <w:pPr>
        <w:pStyle w:val="Heading2"/>
        <w:rPr>
          <w:lang w:val="en-US"/>
        </w:rPr>
      </w:pPr>
      <w:bookmarkStart w:id="36" w:name="_Toc104535761"/>
      <w:r w:rsidRPr="00493AC6">
        <w:rPr>
          <w:lang w:val="en-US"/>
        </w:rPr>
        <w:lastRenderedPageBreak/>
        <w:t>Survivors’ experiences with statutory services</w:t>
      </w:r>
      <w:bookmarkEnd w:id="36"/>
    </w:p>
    <w:p w14:paraId="5B7144CB" w14:textId="574FB39F" w:rsidR="00D97AE7" w:rsidRPr="00493AC6" w:rsidRDefault="00DF29AC" w:rsidP="007E72F1">
      <w:pPr>
        <w:rPr>
          <w:rFonts w:ascii="Open Sans" w:hAnsi="Open Sans" w:cs="Open Sans"/>
          <w:lang w:val="en-US"/>
        </w:rPr>
      </w:pPr>
      <w:r w:rsidRPr="00493AC6">
        <w:rPr>
          <w:rFonts w:ascii="Open Sans" w:hAnsi="Open Sans" w:cs="Open Sans"/>
          <w:lang w:val="en-US"/>
        </w:rPr>
        <w:t>As we have detailed in previous Nowhere to Turn reports, survivors</w:t>
      </w:r>
      <w:r w:rsidR="00771E62" w:rsidRPr="00493AC6">
        <w:rPr>
          <w:rFonts w:ascii="Open Sans" w:hAnsi="Open Sans" w:cs="Open Sans"/>
          <w:lang w:val="en-US"/>
        </w:rPr>
        <w:t>’</w:t>
      </w:r>
      <w:r w:rsidRPr="00493AC6">
        <w:rPr>
          <w:rFonts w:ascii="Open Sans" w:hAnsi="Open Sans" w:cs="Open Sans"/>
          <w:lang w:val="en-US"/>
        </w:rPr>
        <w:t xml:space="preserve"> interactions with statutory services frequently reveal a lack of knowledge of domestic abuse and a tendency to</w:t>
      </w:r>
      <w:r w:rsidR="00BC59FE" w:rsidRPr="00493AC6">
        <w:rPr>
          <w:rFonts w:ascii="Open Sans" w:hAnsi="Open Sans" w:cs="Open Sans"/>
          <w:lang w:val="en-US"/>
        </w:rPr>
        <w:t xml:space="preserve"> seek to</w:t>
      </w:r>
      <w:r w:rsidRPr="00493AC6">
        <w:rPr>
          <w:rFonts w:ascii="Open Sans" w:hAnsi="Open Sans" w:cs="Open Sans"/>
          <w:lang w:val="en-US"/>
        </w:rPr>
        <w:t xml:space="preserve"> evade their duty to support survivors. Out of the 184 survivors</w:t>
      </w:r>
      <w:r w:rsidR="00D97AE7" w:rsidRPr="00493AC6">
        <w:rPr>
          <w:rFonts w:ascii="Open Sans" w:hAnsi="Open Sans" w:cs="Open Sans"/>
          <w:lang w:val="en-US"/>
        </w:rPr>
        <w:t>, the NWTA practitioners recorded 125 system failures on behalf of the police, local authority housing team, or social services.</w:t>
      </w:r>
      <w:r w:rsidR="00DF74FD" w:rsidRPr="00493AC6">
        <w:rPr>
          <w:rFonts w:ascii="Open Sans" w:hAnsi="Open Sans" w:cs="Open Sans"/>
          <w:lang w:val="en-US"/>
        </w:rPr>
        <w:t xml:space="preserve"> These failures include police failing to notify the survivor of a change in the perpetrator’s bail conditions</w:t>
      </w:r>
      <w:r w:rsidR="00D97AE7" w:rsidRPr="00493AC6">
        <w:rPr>
          <w:rFonts w:ascii="Open Sans" w:hAnsi="Open Sans" w:cs="Open Sans"/>
          <w:lang w:val="en-US"/>
        </w:rPr>
        <w:t xml:space="preserve"> </w:t>
      </w:r>
      <w:r w:rsidR="00DF74FD" w:rsidRPr="00493AC6">
        <w:rPr>
          <w:rFonts w:ascii="Open Sans" w:hAnsi="Open Sans" w:cs="Open Sans"/>
          <w:lang w:val="en-US"/>
        </w:rPr>
        <w:t xml:space="preserve">following arrest (see Makena’s story on page </w:t>
      </w:r>
      <w:r w:rsidR="008339E6">
        <w:rPr>
          <w:rFonts w:ascii="Open Sans" w:hAnsi="Open Sans" w:cs="Open Sans"/>
          <w:lang w:val="en-US"/>
        </w:rPr>
        <w:t>52</w:t>
      </w:r>
      <w:r w:rsidR="00DF74FD" w:rsidRPr="00493AC6">
        <w:rPr>
          <w:rFonts w:ascii="Open Sans" w:hAnsi="Open Sans" w:cs="Open Sans"/>
          <w:lang w:val="en-US"/>
        </w:rPr>
        <w:t xml:space="preserve">), </w:t>
      </w:r>
      <w:r w:rsidR="00BB09F9" w:rsidRPr="00493AC6">
        <w:rPr>
          <w:rFonts w:ascii="Open Sans" w:hAnsi="Open Sans" w:cs="Open Sans"/>
          <w:lang w:val="en-US"/>
        </w:rPr>
        <w:t xml:space="preserve">the local authority inappropriately contacting the perpetrator for evidence (see Kadijah’s story on page </w:t>
      </w:r>
      <w:r w:rsidR="008339E6">
        <w:rPr>
          <w:rFonts w:ascii="Open Sans" w:hAnsi="Open Sans" w:cs="Open Sans"/>
          <w:lang w:val="en-US"/>
        </w:rPr>
        <w:t>54</w:t>
      </w:r>
      <w:r w:rsidR="00BB09F9" w:rsidRPr="00493AC6">
        <w:rPr>
          <w:rFonts w:ascii="Open Sans" w:hAnsi="Open Sans" w:cs="Open Sans"/>
          <w:lang w:val="en-US"/>
        </w:rPr>
        <w:t xml:space="preserve">), and </w:t>
      </w:r>
      <w:r w:rsidR="0011388F" w:rsidRPr="00493AC6">
        <w:rPr>
          <w:rFonts w:ascii="Open Sans" w:hAnsi="Open Sans" w:cs="Open Sans"/>
          <w:lang w:val="en-US"/>
        </w:rPr>
        <w:t xml:space="preserve">Social Services failing to accept their duty to accommodate women and children (see below). </w:t>
      </w:r>
      <w:r w:rsidR="00D97AE7" w:rsidRPr="00493AC6">
        <w:rPr>
          <w:rFonts w:ascii="Open Sans" w:hAnsi="Open Sans" w:cs="Open Sans"/>
          <w:lang w:val="en-US"/>
        </w:rPr>
        <w:t>Table four details these failings by each service.</w:t>
      </w:r>
    </w:p>
    <w:p w14:paraId="23690CC5" w14:textId="76D0A2C1" w:rsidR="00E03DBE" w:rsidRDefault="00E03DBE" w:rsidP="007E72F1">
      <w:pPr>
        <w:rPr>
          <w:rFonts w:ascii="Open Sans" w:hAnsi="Open Sans" w:cs="Open Sans"/>
          <w:lang w:val="en-US"/>
        </w:rPr>
      </w:pPr>
    </w:p>
    <w:p w14:paraId="3D00ABF1" w14:textId="15895C7B" w:rsidR="005D459D" w:rsidRDefault="005D459D" w:rsidP="005D459D">
      <w:pPr>
        <w:pStyle w:val="Heading3"/>
        <w:rPr>
          <w:lang w:val="en-US"/>
        </w:rPr>
      </w:pPr>
      <w:r>
        <w:rPr>
          <w:lang w:val="en-US"/>
        </w:rPr>
        <w:t>Table 4: System failures by statutory service</w:t>
      </w:r>
    </w:p>
    <w:p w14:paraId="1595CCB8" w14:textId="77777777" w:rsidR="005D459D" w:rsidRDefault="005D459D" w:rsidP="005D459D">
      <w:r w:rsidRPr="00493AC6">
        <w:t xml:space="preserve">Please note that this is a text version of a table depicting the same </w:t>
      </w:r>
      <w:r>
        <w:t>data</w:t>
      </w:r>
      <w:r w:rsidRPr="00493AC6">
        <w:t xml:space="preserve">. </w:t>
      </w:r>
      <w:r>
        <w:t>You can view this data in table format in the PDF version of this report, available on the Women’s Aid Evidence Hub.</w:t>
      </w:r>
    </w:p>
    <w:p w14:paraId="2EDB701C" w14:textId="555D3490" w:rsidR="005D459D" w:rsidRDefault="005D459D" w:rsidP="005D459D">
      <w:r>
        <w:t>Below is a list of the different statutory services, the number of failures recorded, and the percentage of the total number of women out of 184.</w:t>
      </w:r>
      <w:r>
        <w:rPr>
          <w:rStyle w:val="FootnoteReference"/>
        </w:rPr>
        <w:footnoteReference w:id="31"/>
      </w:r>
    </w:p>
    <w:p w14:paraId="73B652D3" w14:textId="3F06412A" w:rsidR="005D459D" w:rsidRDefault="005D459D" w:rsidP="005D459D">
      <w:pPr>
        <w:pStyle w:val="ListParagraph"/>
        <w:numPr>
          <w:ilvl w:val="0"/>
          <w:numId w:val="18"/>
        </w:numPr>
      </w:pPr>
      <w:r>
        <w:t>Local authority housing team: 55 failures (29.9%)</w:t>
      </w:r>
    </w:p>
    <w:p w14:paraId="6DFEB522" w14:textId="6DD9B975" w:rsidR="005D459D" w:rsidRDefault="005D459D" w:rsidP="005D459D">
      <w:pPr>
        <w:pStyle w:val="ListParagraph"/>
        <w:numPr>
          <w:ilvl w:val="0"/>
          <w:numId w:val="18"/>
        </w:numPr>
      </w:pPr>
      <w:r>
        <w:lastRenderedPageBreak/>
        <w:t>Police: 38 failures (20.7%)</w:t>
      </w:r>
    </w:p>
    <w:p w14:paraId="146D7CB4" w14:textId="6B315AE0" w:rsidR="00EB4D4B" w:rsidRDefault="005D459D" w:rsidP="005D459D">
      <w:pPr>
        <w:pStyle w:val="ListParagraph"/>
        <w:numPr>
          <w:ilvl w:val="0"/>
          <w:numId w:val="18"/>
        </w:numPr>
      </w:pPr>
      <w:r>
        <w:t>Social services: 32 failures (17.4%)</w:t>
      </w:r>
    </w:p>
    <w:p w14:paraId="5F782CDF" w14:textId="0426A8E6" w:rsidR="005D459D" w:rsidRDefault="005D459D" w:rsidP="005D459D">
      <w:r>
        <w:t>End of table data.</w:t>
      </w:r>
    </w:p>
    <w:p w14:paraId="5A2A2A56" w14:textId="77777777" w:rsidR="00642299" w:rsidRPr="005D459D" w:rsidRDefault="00642299" w:rsidP="005D459D"/>
    <w:p w14:paraId="4755C4C8" w14:textId="77777777" w:rsidR="00727EB5" w:rsidRPr="00493AC6" w:rsidRDefault="00727EB5" w:rsidP="007E72F1">
      <w:pPr>
        <w:pStyle w:val="Heading2"/>
      </w:pPr>
      <w:bookmarkStart w:id="37" w:name="_Toc104535762"/>
      <w:r w:rsidRPr="00493AC6">
        <w:t>Social services and survivors with NRPF</w:t>
      </w:r>
      <w:bookmarkEnd w:id="37"/>
    </w:p>
    <w:p w14:paraId="406AF9C2" w14:textId="77777777" w:rsidR="008D1AD1" w:rsidRPr="00493AC6" w:rsidRDefault="008D1AD1" w:rsidP="007E72F1">
      <w:pPr>
        <w:rPr>
          <w:rFonts w:ascii="Open Sans" w:hAnsi="Open Sans" w:cs="Open Sans"/>
          <w:color w:val="262626" w:themeColor="text1"/>
        </w:rPr>
      </w:pPr>
      <w:r w:rsidRPr="00493AC6">
        <w:rPr>
          <w:rFonts w:ascii="Open Sans" w:hAnsi="Open Sans" w:cs="Open Sans"/>
          <w:color w:val="262626" w:themeColor="text1"/>
        </w:rPr>
        <w:t>Survivors with NRPF m</w:t>
      </w:r>
      <w:r w:rsidR="00965576" w:rsidRPr="00493AC6">
        <w:rPr>
          <w:rFonts w:ascii="Open Sans" w:hAnsi="Open Sans" w:cs="Open Sans"/>
          <w:color w:val="262626" w:themeColor="text1"/>
        </w:rPr>
        <w:t>ade up 34.2% (63</w:t>
      </w:r>
      <w:r w:rsidRPr="00493AC6">
        <w:rPr>
          <w:rFonts w:ascii="Open Sans" w:hAnsi="Open Sans" w:cs="Open Sans"/>
          <w:color w:val="262626" w:themeColor="text1"/>
        </w:rPr>
        <w:t xml:space="preserve"> out of 184) of the women who began and finished receiving support from the NWTA project between 1</w:t>
      </w:r>
      <w:r w:rsidRPr="00493AC6">
        <w:rPr>
          <w:rFonts w:ascii="Open Sans" w:hAnsi="Open Sans" w:cs="Open Sans"/>
          <w:color w:val="262626" w:themeColor="text1"/>
          <w:vertAlign w:val="superscript"/>
        </w:rPr>
        <w:t>st</w:t>
      </w:r>
      <w:r w:rsidRPr="00493AC6">
        <w:rPr>
          <w:rFonts w:ascii="Open Sans" w:hAnsi="Open Sans" w:cs="Open Sans"/>
          <w:color w:val="262626" w:themeColor="text1"/>
        </w:rPr>
        <w:t> January 2021 and 31</w:t>
      </w:r>
      <w:r w:rsidRPr="00493AC6">
        <w:rPr>
          <w:rFonts w:ascii="Open Sans" w:hAnsi="Open Sans" w:cs="Open Sans"/>
          <w:color w:val="262626" w:themeColor="text1"/>
          <w:vertAlign w:val="superscript"/>
        </w:rPr>
        <w:t>st</w:t>
      </w:r>
      <w:r w:rsidRPr="00493AC6">
        <w:rPr>
          <w:rFonts w:ascii="Open Sans" w:hAnsi="Open Sans" w:cs="Open Sans"/>
          <w:color w:val="262626" w:themeColor="text1"/>
        </w:rPr>
        <w:t xml:space="preserve"> December 2021. Although they made up </w:t>
      </w:r>
      <w:r w:rsidR="00965576" w:rsidRPr="00493AC6">
        <w:rPr>
          <w:rFonts w:ascii="Open Sans" w:hAnsi="Open Sans" w:cs="Open Sans"/>
          <w:color w:val="262626" w:themeColor="text1"/>
        </w:rPr>
        <w:t>just over</w:t>
      </w:r>
      <w:r w:rsidRPr="00493AC6">
        <w:rPr>
          <w:rFonts w:ascii="Open Sans" w:hAnsi="Open Sans" w:cs="Open Sans"/>
          <w:color w:val="262626" w:themeColor="text1"/>
        </w:rPr>
        <w:t xml:space="preserve"> a third of women supported by the project, they were almost four times as likely to experience a failure on behalf of social services to meet the</w:t>
      </w:r>
      <w:r w:rsidR="00965576" w:rsidRPr="00493AC6">
        <w:rPr>
          <w:rFonts w:ascii="Open Sans" w:hAnsi="Open Sans" w:cs="Open Sans"/>
          <w:color w:val="262626" w:themeColor="text1"/>
        </w:rPr>
        <w:t>ir duty, with 14.3% (9 out of 63</w:t>
      </w:r>
      <w:r w:rsidRPr="00493AC6">
        <w:rPr>
          <w:rFonts w:ascii="Open Sans" w:hAnsi="Open Sans" w:cs="Open Sans"/>
          <w:color w:val="262626" w:themeColor="text1"/>
        </w:rPr>
        <w:t>) of women with NRPF</w:t>
      </w:r>
      <w:r w:rsidR="00161FD5" w:rsidRPr="00493AC6">
        <w:rPr>
          <w:rFonts w:ascii="Open Sans" w:hAnsi="Open Sans" w:cs="Open Sans"/>
          <w:color w:val="262626" w:themeColor="text1"/>
        </w:rPr>
        <w:t xml:space="preserve"> recorded as</w:t>
      </w:r>
      <w:r w:rsidRPr="00493AC6">
        <w:rPr>
          <w:rFonts w:ascii="Open Sans" w:hAnsi="Open Sans" w:cs="Open Sans"/>
          <w:color w:val="262626" w:themeColor="text1"/>
        </w:rPr>
        <w:t xml:space="preserve"> experiencing th</w:t>
      </w:r>
      <w:r w:rsidR="00161FD5" w:rsidRPr="00493AC6">
        <w:rPr>
          <w:rFonts w:ascii="Open Sans" w:hAnsi="Open Sans" w:cs="Open Sans"/>
          <w:color w:val="262626" w:themeColor="text1"/>
        </w:rPr>
        <w:t>is, compared to 4.1% (5 out of 121</w:t>
      </w:r>
      <w:r w:rsidRPr="00493AC6">
        <w:rPr>
          <w:rFonts w:ascii="Open Sans" w:hAnsi="Open Sans" w:cs="Open Sans"/>
          <w:color w:val="262626" w:themeColor="text1"/>
        </w:rPr>
        <w:t>) who did have recourse to public funds. These failures include only offering to accommodate the children but not the woman, refusing to fund a space for both the woman and the children, or only offering to fund a space for the children but not the woman. During this same period, the NWTA caseworkers recorded two incidents in which survivors with NRPF were prevented from making a valid homelessness application by local authorities as a result of discrimination on the basis of their nationality.</w:t>
      </w:r>
    </w:p>
    <w:p w14:paraId="62FC5DCB" w14:textId="77777777" w:rsidR="008D1AD1" w:rsidRPr="00493AC6" w:rsidRDefault="008D1AD1" w:rsidP="007E72F1">
      <w:pPr>
        <w:rPr>
          <w:rFonts w:ascii="Open Sans" w:hAnsi="Open Sans" w:cs="Open Sans"/>
          <w:color w:val="B6006C"/>
          <w:szCs w:val="24"/>
          <w:lang w:val="en-US"/>
        </w:rPr>
      </w:pPr>
      <w:r w:rsidRPr="00493AC6">
        <w:rPr>
          <w:rFonts w:ascii="Open Sans" w:hAnsi="Open Sans" w:cs="Open Sans"/>
          <w:color w:val="B6006C"/>
          <w:szCs w:val="24"/>
          <w:lang w:val="en-US"/>
        </w:rPr>
        <w:t xml:space="preserve"> </w:t>
      </w:r>
      <w:r w:rsidRPr="00493AC6">
        <w:rPr>
          <w:rFonts w:ascii="Open Sans" w:hAnsi="Open Sans" w:cs="Open Sans"/>
          <w:color w:val="B6006C"/>
          <w:szCs w:val="24"/>
          <w:lang w:val="en-US"/>
        </w:rPr>
        <w:br w:type="page"/>
      </w:r>
    </w:p>
    <w:p w14:paraId="06A7182E" w14:textId="77777777" w:rsidR="006A6F18" w:rsidRPr="00493AC6" w:rsidRDefault="006A6F18" w:rsidP="005D459D">
      <w:pPr>
        <w:pStyle w:val="Heading2"/>
      </w:pPr>
      <w:bookmarkStart w:id="38" w:name="_Toc104535763"/>
      <w:r w:rsidRPr="00493AC6">
        <w:lastRenderedPageBreak/>
        <w:t>Makena’s</w:t>
      </w:r>
      <w:r w:rsidRPr="00493AC6">
        <w:rPr>
          <w:rStyle w:val="FootnoteReference"/>
        </w:rPr>
        <w:footnoteReference w:id="32"/>
      </w:r>
      <w:r w:rsidRPr="00493AC6">
        <w:rPr>
          <w:vertAlign w:val="superscript"/>
        </w:rPr>
        <w:t xml:space="preserve"> </w:t>
      </w:r>
      <w:r w:rsidRPr="00493AC6">
        <w:t>story</w:t>
      </w:r>
      <w:bookmarkEnd w:id="38"/>
    </w:p>
    <w:p w14:paraId="57E2B0A7" w14:textId="77777777" w:rsidR="001F7937" w:rsidRPr="00493AC6" w:rsidRDefault="006A6F18" w:rsidP="007E72F1">
      <w:pPr>
        <w:rPr>
          <w:rFonts w:ascii="Open Sans" w:hAnsi="Open Sans" w:cs="Open Sans"/>
          <w:lang w:val="en-US"/>
        </w:rPr>
      </w:pPr>
      <w:r w:rsidRPr="00493AC6">
        <w:rPr>
          <w:rFonts w:ascii="Open Sans" w:hAnsi="Open Sans" w:cs="Open Sans"/>
          <w:lang w:val="en-US"/>
        </w:rPr>
        <w:t xml:space="preserve">Makena </w:t>
      </w:r>
      <w:r w:rsidR="000504E0" w:rsidRPr="00493AC6">
        <w:rPr>
          <w:rFonts w:ascii="Open Sans" w:hAnsi="Open Sans" w:cs="Open Sans"/>
          <w:lang w:val="en-US"/>
        </w:rPr>
        <w:t>was referred to the NWTA project by a local domestic abuse service who were unable to accommodate her due to NRPF</w:t>
      </w:r>
      <w:r w:rsidR="001F7937" w:rsidRPr="00493AC6">
        <w:rPr>
          <w:rFonts w:ascii="Open Sans" w:hAnsi="Open Sans" w:cs="Open Sans"/>
          <w:lang w:val="en-US"/>
        </w:rPr>
        <w:t xml:space="preserve">. </w:t>
      </w:r>
      <w:r w:rsidR="003425AD" w:rsidRPr="00493AC6">
        <w:rPr>
          <w:rFonts w:ascii="Open Sans" w:hAnsi="Open Sans" w:cs="Open Sans"/>
          <w:lang w:val="en-US"/>
        </w:rPr>
        <w:t xml:space="preserve">Before being referred to NWTA </w:t>
      </w:r>
      <w:r w:rsidR="001F7937" w:rsidRPr="00493AC6">
        <w:rPr>
          <w:rFonts w:ascii="Open Sans" w:hAnsi="Open Sans" w:cs="Open Sans"/>
          <w:lang w:val="en-US"/>
        </w:rPr>
        <w:t xml:space="preserve">Makena had </w:t>
      </w:r>
      <w:r w:rsidR="003425AD" w:rsidRPr="00493AC6">
        <w:rPr>
          <w:rFonts w:ascii="Open Sans" w:hAnsi="Open Sans" w:cs="Open Sans"/>
          <w:lang w:val="en-US"/>
        </w:rPr>
        <w:t xml:space="preserve">already </w:t>
      </w:r>
      <w:r w:rsidR="001F7937" w:rsidRPr="00493AC6">
        <w:rPr>
          <w:rFonts w:ascii="Open Sans" w:hAnsi="Open Sans" w:cs="Open Sans"/>
          <w:lang w:val="en-US"/>
        </w:rPr>
        <w:t>been rejected by over 15 different refuges, primarily because of her immigration status</w:t>
      </w:r>
      <w:r w:rsidR="0086552E" w:rsidRPr="00493AC6">
        <w:rPr>
          <w:rFonts w:ascii="Open Sans" w:hAnsi="Open Sans" w:cs="Open Sans"/>
          <w:lang w:val="en-US"/>
        </w:rPr>
        <w:t>.</w:t>
      </w:r>
      <w:r w:rsidR="001F7937" w:rsidRPr="00493AC6">
        <w:rPr>
          <w:rFonts w:ascii="Open Sans" w:hAnsi="Open Sans" w:cs="Open Sans"/>
          <w:lang w:val="en-US"/>
        </w:rPr>
        <w:t xml:space="preserve"> Makena was legally married to the perpetrator and had made an application for a spousal visa four months earlier, however, </w:t>
      </w:r>
      <w:r w:rsidR="003425AD" w:rsidRPr="00493AC6">
        <w:rPr>
          <w:rFonts w:ascii="Open Sans" w:hAnsi="Open Sans" w:cs="Open Sans"/>
          <w:lang w:val="en-US"/>
        </w:rPr>
        <w:t>this</w:t>
      </w:r>
      <w:r w:rsidR="001F7937" w:rsidRPr="00493AC6">
        <w:rPr>
          <w:rFonts w:ascii="Open Sans" w:hAnsi="Open Sans" w:cs="Open Sans"/>
          <w:lang w:val="en-US"/>
        </w:rPr>
        <w:t xml:space="preserve"> was still being processed by the Home Office. This meant that despite </w:t>
      </w:r>
      <w:r w:rsidR="002B1D15" w:rsidRPr="00493AC6">
        <w:rPr>
          <w:rFonts w:ascii="Open Sans" w:hAnsi="Open Sans" w:cs="Open Sans"/>
          <w:lang w:val="en-US"/>
        </w:rPr>
        <w:t xml:space="preserve">the </w:t>
      </w:r>
      <w:r w:rsidR="001F7937" w:rsidRPr="00493AC6">
        <w:rPr>
          <w:rFonts w:ascii="Open Sans" w:hAnsi="Open Sans" w:cs="Open Sans"/>
          <w:lang w:val="en-US"/>
        </w:rPr>
        <w:t xml:space="preserve">police </w:t>
      </w:r>
      <w:r w:rsidR="002B1D15" w:rsidRPr="00493AC6">
        <w:rPr>
          <w:rFonts w:ascii="Open Sans" w:hAnsi="Open Sans" w:cs="Open Sans"/>
          <w:lang w:val="en-US"/>
        </w:rPr>
        <w:t>having been involved because of domestic abuse</w:t>
      </w:r>
      <w:r w:rsidR="001F7937" w:rsidRPr="00493AC6">
        <w:rPr>
          <w:rFonts w:ascii="Open Sans" w:hAnsi="Open Sans" w:cs="Open Sans"/>
          <w:lang w:val="en-US"/>
        </w:rPr>
        <w:t>, Makena’s application for the Destitution Domestic Violence Concession had been rejected.</w:t>
      </w:r>
    </w:p>
    <w:p w14:paraId="2E9FCE7C" w14:textId="77777777" w:rsidR="0007600E" w:rsidRPr="00493AC6" w:rsidRDefault="001F7937" w:rsidP="007E72F1">
      <w:pPr>
        <w:rPr>
          <w:rFonts w:ascii="Open Sans" w:hAnsi="Open Sans" w:cs="Open Sans"/>
          <w:lang w:val="en-US"/>
        </w:rPr>
      </w:pPr>
      <w:r w:rsidRPr="00493AC6">
        <w:rPr>
          <w:rFonts w:ascii="Open Sans" w:hAnsi="Open Sans" w:cs="Open Sans"/>
          <w:lang w:val="en-US"/>
        </w:rPr>
        <w:t>Makena’s husband</w:t>
      </w:r>
      <w:r w:rsidR="002212A0" w:rsidRPr="00493AC6">
        <w:rPr>
          <w:rFonts w:ascii="Open Sans" w:hAnsi="Open Sans" w:cs="Open Sans"/>
          <w:lang w:val="en-US"/>
        </w:rPr>
        <w:t xml:space="preserve">’s </w:t>
      </w:r>
      <w:r w:rsidR="000C53DF" w:rsidRPr="00493AC6">
        <w:rPr>
          <w:rFonts w:ascii="Open Sans" w:hAnsi="Open Sans" w:cs="Open Sans"/>
          <w:lang w:val="en-US"/>
        </w:rPr>
        <w:t>behavior</w:t>
      </w:r>
      <w:r w:rsidRPr="00493AC6">
        <w:rPr>
          <w:rFonts w:ascii="Open Sans" w:hAnsi="Open Sans" w:cs="Open Sans"/>
          <w:lang w:val="en-US"/>
        </w:rPr>
        <w:t xml:space="preserve"> changed quickly after they were married, </w:t>
      </w:r>
      <w:r w:rsidR="00395684" w:rsidRPr="00493AC6">
        <w:rPr>
          <w:rFonts w:ascii="Open Sans" w:hAnsi="Open Sans" w:cs="Open Sans"/>
          <w:lang w:val="en-US"/>
        </w:rPr>
        <w:t>becoming</w:t>
      </w:r>
      <w:r w:rsidRPr="00493AC6">
        <w:rPr>
          <w:rFonts w:ascii="Open Sans" w:hAnsi="Open Sans" w:cs="Open Sans"/>
          <w:lang w:val="en-US"/>
        </w:rPr>
        <w:t xml:space="preserve"> extremely controlling and physically abusive. </w:t>
      </w:r>
      <w:r w:rsidR="00657741" w:rsidRPr="00493AC6">
        <w:rPr>
          <w:rFonts w:ascii="Open Sans" w:hAnsi="Open Sans" w:cs="Open Sans"/>
          <w:lang w:val="en-US"/>
        </w:rPr>
        <w:t>This in</w:t>
      </w:r>
      <w:r w:rsidR="009D3FFE" w:rsidRPr="00493AC6">
        <w:rPr>
          <w:rFonts w:ascii="Open Sans" w:hAnsi="Open Sans" w:cs="Open Sans"/>
          <w:lang w:val="en-US"/>
        </w:rPr>
        <w:t>volved</w:t>
      </w:r>
      <w:r w:rsidR="00657741" w:rsidRPr="00493AC6">
        <w:rPr>
          <w:rFonts w:ascii="Open Sans" w:hAnsi="Open Sans" w:cs="Open Sans"/>
          <w:lang w:val="en-US"/>
        </w:rPr>
        <w:t xml:space="preserve"> turning up at Makena’</w:t>
      </w:r>
      <w:r w:rsidR="0086552E" w:rsidRPr="00493AC6">
        <w:rPr>
          <w:rFonts w:ascii="Open Sans" w:hAnsi="Open Sans" w:cs="Open Sans"/>
          <w:lang w:val="en-US"/>
        </w:rPr>
        <w:t xml:space="preserve">s place of work, accusing her of having an affair with a male colleague, </w:t>
      </w:r>
      <w:r w:rsidR="00657741" w:rsidRPr="00493AC6">
        <w:rPr>
          <w:rFonts w:ascii="Open Sans" w:hAnsi="Open Sans" w:cs="Open Sans"/>
          <w:lang w:val="en-US"/>
        </w:rPr>
        <w:t>and f</w:t>
      </w:r>
      <w:r w:rsidR="0086552E" w:rsidRPr="00493AC6">
        <w:rPr>
          <w:rFonts w:ascii="Open Sans" w:hAnsi="Open Sans" w:cs="Open Sans"/>
          <w:lang w:val="en-US"/>
        </w:rPr>
        <w:t>orcing her to leave the building</w:t>
      </w:r>
      <w:r w:rsidR="00657741" w:rsidRPr="00493AC6">
        <w:rPr>
          <w:rFonts w:ascii="Open Sans" w:hAnsi="Open Sans" w:cs="Open Sans"/>
          <w:lang w:val="en-US"/>
        </w:rPr>
        <w:t xml:space="preserve">. </w:t>
      </w:r>
      <w:r w:rsidR="009D47BB" w:rsidRPr="00493AC6">
        <w:rPr>
          <w:rFonts w:ascii="Open Sans" w:hAnsi="Open Sans" w:cs="Open Sans"/>
          <w:lang w:val="en-US"/>
        </w:rPr>
        <w:t>Later in the relationship he pushed</w:t>
      </w:r>
      <w:r w:rsidR="00657741" w:rsidRPr="00493AC6">
        <w:rPr>
          <w:rFonts w:ascii="Open Sans" w:hAnsi="Open Sans" w:cs="Open Sans"/>
          <w:lang w:val="en-US"/>
        </w:rPr>
        <w:t xml:space="preserve"> Makena down the stairs</w:t>
      </w:r>
      <w:r w:rsidR="002F73DB" w:rsidRPr="00493AC6">
        <w:rPr>
          <w:rFonts w:ascii="Open Sans" w:hAnsi="Open Sans" w:cs="Open Sans"/>
          <w:lang w:val="en-US"/>
        </w:rPr>
        <w:t>.</w:t>
      </w:r>
      <w:r w:rsidR="00657741" w:rsidRPr="00493AC6">
        <w:rPr>
          <w:rFonts w:ascii="Open Sans" w:hAnsi="Open Sans" w:cs="Open Sans"/>
          <w:lang w:val="en-US"/>
        </w:rPr>
        <w:t xml:space="preserve"> </w:t>
      </w:r>
      <w:r w:rsidR="002F73DB" w:rsidRPr="00493AC6">
        <w:rPr>
          <w:rFonts w:ascii="Open Sans" w:hAnsi="Open Sans" w:cs="Open Sans"/>
          <w:lang w:val="en-US"/>
        </w:rPr>
        <w:t xml:space="preserve">She </w:t>
      </w:r>
      <w:r w:rsidR="00657741" w:rsidRPr="00493AC6">
        <w:rPr>
          <w:rFonts w:ascii="Open Sans" w:hAnsi="Open Sans" w:cs="Open Sans"/>
          <w:lang w:val="en-US"/>
        </w:rPr>
        <w:t xml:space="preserve">was so frightened </w:t>
      </w:r>
      <w:r w:rsidR="002F73DB" w:rsidRPr="00493AC6">
        <w:rPr>
          <w:rFonts w:ascii="Open Sans" w:hAnsi="Open Sans" w:cs="Open Sans"/>
          <w:lang w:val="en-US"/>
        </w:rPr>
        <w:t xml:space="preserve">that </w:t>
      </w:r>
      <w:r w:rsidR="00657741" w:rsidRPr="00493AC6">
        <w:rPr>
          <w:rFonts w:ascii="Open Sans" w:hAnsi="Open Sans" w:cs="Open Sans"/>
          <w:lang w:val="en-US"/>
        </w:rPr>
        <w:t>she fled the fla</w:t>
      </w:r>
      <w:r w:rsidR="003C1280" w:rsidRPr="00493AC6">
        <w:rPr>
          <w:rFonts w:ascii="Open Sans" w:hAnsi="Open Sans" w:cs="Open Sans"/>
          <w:lang w:val="en-US"/>
        </w:rPr>
        <w:t>t despite having no clothes on</w:t>
      </w:r>
      <w:r w:rsidR="00657741" w:rsidRPr="00493AC6">
        <w:rPr>
          <w:rFonts w:ascii="Open Sans" w:hAnsi="Open Sans" w:cs="Open Sans"/>
          <w:lang w:val="en-US"/>
        </w:rPr>
        <w:t>, and s</w:t>
      </w:r>
      <w:r w:rsidR="003C1280" w:rsidRPr="00493AC6">
        <w:rPr>
          <w:rFonts w:ascii="Open Sans" w:hAnsi="Open Sans" w:cs="Open Sans"/>
          <w:lang w:val="en-US"/>
        </w:rPr>
        <w:t>ought</w:t>
      </w:r>
      <w:r w:rsidR="00657741" w:rsidRPr="00493AC6">
        <w:rPr>
          <w:rFonts w:ascii="Open Sans" w:hAnsi="Open Sans" w:cs="Open Sans"/>
          <w:lang w:val="en-US"/>
        </w:rPr>
        <w:t xml:space="preserve"> help from some </w:t>
      </w:r>
      <w:r w:rsidR="000E7281" w:rsidRPr="00493AC6">
        <w:rPr>
          <w:rFonts w:ascii="Open Sans" w:hAnsi="Open Sans" w:cs="Open Sans"/>
          <w:lang w:val="en-US"/>
        </w:rPr>
        <w:t>neighbors</w:t>
      </w:r>
      <w:r w:rsidR="00657741" w:rsidRPr="00493AC6">
        <w:rPr>
          <w:rFonts w:ascii="Open Sans" w:hAnsi="Open Sans" w:cs="Open Sans"/>
          <w:lang w:val="en-US"/>
        </w:rPr>
        <w:t xml:space="preserve"> across the </w:t>
      </w:r>
      <w:r w:rsidR="004B4A04" w:rsidRPr="00493AC6">
        <w:rPr>
          <w:rFonts w:ascii="Open Sans" w:hAnsi="Open Sans" w:cs="Open Sans"/>
          <w:lang w:val="en-US"/>
        </w:rPr>
        <w:t>street</w:t>
      </w:r>
      <w:r w:rsidR="00657741" w:rsidRPr="00493AC6">
        <w:rPr>
          <w:rFonts w:ascii="Open Sans" w:hAnsi="Open Sans" w:cs="Open Sans"/>
          <w:lang w:val="en-US"/>
        </w:rPr>
        <w:t xml:space="preserve">. </w:t>
      </w:r>
      <w:r w:rsidR="0086552E" w:rsidRPr="00493AC6">
        <w:rPr>
          <w:rFonts w:ascii="Open Sans" w:hAnsi="Open Sans" w:cs="Open Sans"/>
          <w:lang w:val="en-US"/>
        </w:rPr>
        <w:t>After this incident the perpetrator was arrested and given bail conditions to stay away from M</w:t>
      </w:r>
      <w:r w:rsidR="00E564FD" w:rsidRPr="00493AC6">
        <w:rPr>
          <w:rFonts w:ascii="Open Sans" w:hAnsi="Open Sans" w:cs="Open Sans"/>
          <w:lang w:val="en-US"/>
        </w:rPr>
        <w:t xml:space="preserve">akena and the family home. </w:t>
      </w:r>
    </w:p>
    <w:p w14:paraId="43C14064" w14:textId="77777777" w:rsidR="00650259" w:rsidRPr="00493AC6" w:rsidRDefault="00E564FD" w:rsidP="007E72F1">
      <w:pPr>
        <w:rPr>
          <w:rFonts w:ascii="Open Sans" w:hAnsi="Open Sans" w:cs="Open Sans"/>
          <w:lang w:val="en-US"/>
        </w:rPr>
      </w:pPr>
      <w:r w:rsidRPr="00493AC6">
        <w:rPr>
          <w:rFonts w:ascii="Open Sans" w:hAnsi="Open Sans" w:cs="Open Sans"/>
          <w:lang w:val="en-US"/>
        </w:rPr>
        <w:t xml:space="preserve">A few weeks later, during which time Makena was staying in temporary accommodation whilst the NWTA practitioner was </w:t>
      </w:r>
      <w:r w:rsidRPr="00493AC6">
        <w:rPr>
          <w:rFonts w:ascii="Open Sans" w:hAnsi="Open Sans" w:cs="Open Sans"/>
          <w:lang w:val="en-US"/>
        </w:rPr>
        <w:lastRenderedPageBreak/>
        <w:t xml:space="preserve">supporting her to access immigration advice, the police lifted the perpetrator’s bail conditions and decided to take no further </w:t>
      </w:r>
      <w:r w:rsidR="003425AD" w:rsidRPr="00493AC6">
        <w:rPr>
          <w:rFonts w:ascii="Open Sans" w:hAnsi="Open Sans" w:cs="Open Sans"/>
          <w:lang w:val="en-US"/>
        </w:rPr>
        <w:t>action</w:t>
      </w:r>
      <w:r w:rsidRPr="00493AC6">
        <w:rPr>
          <w:rFonts w:ascii="Open Sans" w:hAnsi="Open Sans" w:cs="Open Sans"/>
          <w:lang w:val="en-US"/>
        </w:rPr>
        <w:t>.</w:t>
      </w:r>
      <w:r w:rsidR="00E9659F" w:rsidRPr="00493AC6">
        <w:rPr>
          <w:rFonts w:ascii="Open Sans" w:hAnsi="Open Sans" w:cs="Open Sans"/>
          <w:lang w:val="en-US"/>
        </w:rPr>
        <w:t xml:space="preserve"> T</w:t>
      </w:r>
      <w:r w:rsidR="003425AD" w:rsidRPr="00493AC6">
        <w:rPr>
          <w:rFonts w:ascii="Open Sans" w:hAnsi="Open Sans" w:cs="Open Sans"/>
          <w:lang w:val="en-US"/>
        </w:rPr>
        <w:t>his came as</w:t>
      </w:r>
      <w:r w:rsidR="00E9659F" w:rsidRPr="00493AC6">
        <w:rPr>
          <w:rFonts w:ascii="Open Sans" w:hAnsi="Open Sans" w:cs="Open Sans"/>
          <w:lang w:val="en-US"/>
        </w:rPr>
        <w:t xml:space="preserve"> a shock </w:t>
      </w:r>
      <w:r w:rsidR="003425AD" w:rsidRPr="00493AC6">
        <w:rPr>
          <w:rFonts w:ascii="Open Sans" w:hAnsi="Open Sans" w:cs="Open Sans"/>
          <w:lang w:val="en-US"/>
        </w:rPr>
        <w:t xml:space="preserve">to Makena and </w:t>
      </w:r>
      <w:r w:rsidR="00E9659F" w:rsidRPr="00493AC6">
        <w:rPr>
          <w:rFonts w:ascii="Open Sans" w:hAnsi="Open Sans" w:cs="Open Sans"/>
          <w:lang w:val="en-US"/>
        </w:rPr>
        <w:t xml:space="preserve">the other professionals supporting </w:t>
      </w:r>
      <w:r w:rsidR="003425AD" w:rsidRPr="00493AC6">
        <w:rPr>
          <w:rFonts w:ascii="Open Sans" w:hAnsi="Open Sans" w:cs="Open Sans"/>
          <w:lang w:val="en-US"/>
        </w:rPr>
        <w:t>her</w:t>
      </w:r>
      <w:r w:rsidR="00E9659F" w:rsidRPr="00493AC6">
        <w:rPr>
          <w:rFonts w:ascii="Open Sans" w:hAnsi="Open Sans" w:cs="Open Sans"/>
          <w:lang w:val="en-US"/>
        </w:rPr>
        <w:t>, who knew that there had been witnesses to the incident</w:t>
      </w:r>
      <w:r w:rsidR="003425AD" w:rsidRPr="00493AC6">
        <w:rPr>
          <w:rFonts w:ascii="Open Sans" w:hAnsi="Open Sans" w:cs="Open Sans"/>
          <w:lang w:val="en-US"/>
        </w:rPr>
        <w:t>, meaning the police</w:t>
      </w:r>
      <w:r w:rsidR="00743DCB" w:rsidRPr="00493AC6">
        <w:rPr>
          <w:rFonts w:ascii="Open Sans" w:hAnsi="Open Sans" w:cs="Open Sans"/>
          <w:lang w:val="en-US"/>
        </w:rPr>
        <w:t xml:space="preserve"> failed to follow up on the evidence. The police </w:t>
      </w:r>
      <w:r w:rsidR="00955EE6" w:rsidRPr="00493AC6">
        <w:rPr>
          <w:rFonts w:ascii="Open Sans" w:hAnsi="Open Sans" w:cs="Open Sans"/>
          <w:lang w:val="en-US"/>
        </w:rPr>
        <w:t>did not</w:t>
      </w:r>
      <w:r w:rsidR="00743DCB" w:rsidRPr="00493AC6">
        <w:rPr>
          <w:rFonts w:ascii="Open Sans" w:hAnsi="Open Sans" w:cs="Open Sans"/>
          <w:lang w:val="en-US"/>
        </w:rPr>
        <w:t xml:space="preserve"> alert Makena of their decision to </w:t>
      </w:r>
      <w:r w:rsidR="003425AD" w:rsidRPr="00493AC6">
        <w:rPr>
          <w:rFonts w:ascii="Open Sans" w:hAnsi="Open Sans" w:cs="Open Sans"/>
          <w:lang w:val="en-US"/>
        </w:rPr>
        <w:t>lift the</w:t>
      </w:r>
      <w:r w:rsidR="00743DCB" w:rsidRPr="00493AC6">
        <w:rPr>
          <w:rFonts w:ascii="Open Sans" w:hAnsi="Open Sans" w:cs="Open Sans"/>
          <w:lang w:val="en-US"/>
        </w:rPr>
        <w:t xml:space="preserve"> perpetrator’s bail conditions, and she only learnt that this had happened after finding out that the perpetrator was back in the family home through word of mouth.</w:t>
      </w:r>
      <w:r w:rsidR="003425AD" w:rsidRPr="00493AC6">
        <w:rPr>
          <w:rFonts w:ascii="Open Sans" w:hAnsi="Open Sans" w:cs="Open Sans"/>
          <w:lang w:val="en-US"/>
        </w:rPr>
        <w:t xml:space="preserve"> </w:t>
      </w:r>
    </w:p>
    <w:p w14:paraId="67D011E5" w14:textId="77777777" w:rsidR="003425AD" w:rsidRPr="00493AC6" w:rsidRDefault="00D113F9" w:rsidP="007E72F1">
      <w:pPr>
        <w:rPr>
          <w:rFonts w:ascii="Open Sans" w:hAnsi="Open Sans" w:cs="Open Sans"/>
          <w:lang w:val="en-US"/>
        </w:rPr>
      </w:pPr>
      <w:r w:rsidRPr="00493AC6">
        <w:rPr>
          <w:rFonts w:ascii="Open Sans" w:hAnsi="Open Sans" w:cs="Open Sans"/>
          <w:lang w:val="en-US"/>
        </w:rPr>
        <w:t>During the time that Makena was receiving support from the NWTA project</w:t>
      </w:r>
      <w:r w:rsidR="004B2263" w:rsidRPr="00493AC6">
        <w:rPr>
          <w:rFonts w:ascii="Open Sans" w:hAnsi="Open Sans" w:cs="Open Sans"/>
          <w:lang w:val="en-US"/>
        </w:rPr>
        <w:t xml:space="preserve"> she found paid employment again, meaning that she was able to financially support herself and no longer eligible for the DDVC. The NWTA practitioner supported her to speak with her local M</w:t>
      </w:r>
      <w:r w:rsidR="002F73DB" w:rsidRPr="00493AC6">
        <w:rPr>
          <w:rFonts w:ascii="Open Sans" w:hAnsi="Open Sans" w:cs="Open Sans"/>
          <w:lang w:val="en-US"/>
        </w:rPr>
        <w:t xml:space="preserve">ember of </w:t>
      </w:r>
      <w:r w:rsidR="004B2263" w:rsidRPr="00493AC6">
        <w:rPr>
          <w:rFonts w:ascii="Open Sans" w:hAnsi="Open Sans" w:cs="Open Sans"/>
          <w:lang w:val="en-US"/>
        </w:rPr>
        <w:t>P</w:t>
      </w:r>
      <w:r w:rsidR="002F73DB" w:rsidRPr="00493AC6">
        <w:rPr>
          <w:rFonts w:ascii="Open Sans" w:hAnsi="Open Sans" w:cs="Open Sans"/>
          <w:lang w:val="en-US"/>
        </w:rPr>
        <w:t>arliament (MP)</w:t>
      </w:r>
      <w:r w:rsidR="004B2263" w:rsidRPr="00493AC6">
        <w:rPr>
          <w:rFonts w:ascii="Open Sans" w:hAnsi="Open Sans" w:cs="Open Sans"/>
          <w:lang w:val="en-US"/>
        </w:rPr>
        <w:t xml:space="preserve"> who wrote to the Home Office for clarification regarding Makena’s status in the UK. The NWTA practitioner then supported Makena in her search for private accommodation.</w:t>
      </w:r>
      <w:r w:rsidR="000D4FDA" w:rsidRPr="00493AC6">
        <w:rPr>
          <w:rFonts w:ascii="Open Sans" w:hAnsi="Open Sans" w:cs="Open Sans"/>
          <w:lang w:val="en-US"/>
        </w:rPr>
        <w:t xml:space="preserve"> </w:t>
      </w:r>
    </w:p>
    <w:p w14:paraId="4BFB1FDE" w14:textId="006A7F9F" w:rsidR="00A73ED4" w:rsidRPr="00493AC6" w:rsidRDefault="000D4FDA" w:rsidP="007E72F1">
      <w:pPr>
        <w:rPr>
          <w:rFonts w:ascii="Open Sans" w:hAnsi="Open Sans" w:cs="Open Sans"/>
          <w:lang w:val="en-US"/>
        </w:rPr>
      </w:pPr>
      <w:r w:rsidRPr="00493AC6">
        <w:rPr>
          <w:rFonts w:ascii="Open Sans" w:hAnsi="Open Sans" w:cs="Open Sans"/>
          <w:lang w:val="en-US"/>
        </w:rPr>
        <w:t xml:space="preserve">Makena was left feeling seriously let down </w:t>
      </w:r>
      <w:r w:rsidR="00E77F27" w:rsidRPr="00493AC6">
        <w:rPr>
          <w:rFonts w:ascii="Open Sans" w:hAnsi="Open Sans" w:cs="Open Sans"/>
          <w:lang w:val="en-US"/>
        </w:rPr>
        <w:t xml:space="preserve">by the police and </w:t>
      </w:r>
      <w:r w:rsidRPr="00493AC6">
        <w:rPr>
          <w:rFonts w:ascii="Open Sans" w:hAnsi="Open Sans" w:cs="Open Sans"/>
          <w:lang w:val="en-US"/>
        </w:rPr>
        <w:t xml:space="preserve">did not feel </w:t>
      </w:r>
      <w:r w:rsidR="00E77F27" w:rsidRPr="00493AC6">
        <w:rPr>
          <w:rFonts w:ascii="Open Sans" w:hAnsi="Open Sans" w:cs="Open Sans"/>
          <w:lang w:val="en-US"/>
        </w:rPr>
        <w:t>up to challenging their</w:t>
      </w:r>
      <w:r w:rsidRPr="00493AC6">
        <w:rPr>
          <w:rFonts w:ascii="Open Sans" w:hAnsi="Open Sans" w:cs="Open Sans"/>
          <w:lang w:val="en-US"/>
        </w:rPr>
        <w:t xml:space="preserve"> decision, even with the support of the NWTA worker.</w:t>
      </w:r>
      <w:r w:rsidR="003425AD" w:rsidRPr="00493AC6">
        <w:rPr>
          <w:rFonts w:ascii="Open Sans" w:hAnsi="Open Sans" w:cs="Open Sans"/>
          <w:lang w:val="en-US"/>
        </w:rPr>
        <w:t xml:space="preserve"> </w:t>
      </w:r>
      <w:r w:rsidRPr="00493AC6">
        <w:rPr>
          <w:rFonts w:ascii="Open Sans" w:hAnsi="Open Sans" w:cs="Open Sans"/>
          <w:lang w:val="en-US"/>
        </w:rPr>
        <w:t>Unfortunately, we hear of systematic failures like these all too often in the NWTA project</w:t>
      </w:r>
      <w:r w:rsidR="00E77F27" w:rsidRPr="00493AC6">
        <w:rPr>
          <w:rFonts w:ascii="Open Sans" w:hAnsi="Open Sans" w:cs="Open Sans"/>
          <w:lang w:val="en-US"/>
        </w:rPr>
        <w:t>, that seriously undermine the safety of survivors. Had Makena not had support of the NWTA project and the local safeguarding team her story may have been very different.</w:t>
      </w:r>
      <w:r w:rsidR="00A73ED4" w:rsidRPr="00493AC6">
        <w:rPr>
          <w:rFonts w:ascii="Open Sans" w:hAnsi="Open Sans" w:cs="Open Sans"/>
          <w:color w:val="B6006C"/>
          <w:lang w:val="en-US"/>
        </w:rPr>
        <w:br w:type="page"/>
      </w:r>
    </w:p>
    <w:p w14:paraId="7C0266E1" w14:textId="77777777" w:rsidR="00D22FF4" w:rsidRPr="00493AC6" w:rsidRDefault="00D22FF4" w:rsidP="003561CD">
      <w:pPr>
        <w:pStyle w:val="Heading2"/>
      </w:pPr>
      <w:bookmarkStart w:id="39" w:name="_Toc104535764"/>
      <w:r w:rsidRPr="00493AC6">
        <w:lastRenderedPageBreak/>
        <w:t>Interview with a survivor support</w:t>
      </w:r>
      <w:r w:rsidR="00CC0EF3" w:rsidRPr="00493AC6">
        <w:t>ed</w:t>
      </w:r>
      <w:r w:rsidRPr="00493AC6">
        <w:t xml:space="preserve"> by NWTA</w:t>
      </w:r>
      <w:bookmarkEnd w:id="39"/>
    </w:p>
    <w:p w14:paraId="0331C0C6" w14:textId="77777777" w:rsidR="00D22FF4" w:rsidRPr="00493AC6" w:rsidRDefault="00D22FF4" w:rsidP="003561CD">
      <w:pPr>
        <w:pStyle w:val="Heading3"/>
        <w:rPr>
          <w:iCs/>
        </w:rPr>
      </w:pPr>
      <w:r w:rsidRPr="00493AC6">
        <w:t>Background</w:t>
      </w:r>
    </w:p>
    <w:p w14:paraId="26BD294C" w14:textId="77777777" w:rsidR="00D22FF4" w:rsidRPr="00493AC6" w:rsidRDefault="00D22FF4" w:rsidP="007E72F1">
      <w:pPr>
        <w:rPr>
          <w:rFonts w:ascii="Open Sans" w:hAnsi="Open Sans" w:cs="Open Sans"/>
        </w:rPr>
      </w:pPr>
      <w:r w:rsidRPr="00493AC6">
        <w:rPr>
          <w:rFonts w:ascii="Open Sans" w:hAnsi="Open Sans" w:cs="Open Sans"/>
        </w:rPr>
        <w:t>Kadijah</w:t>
      </w:r>
      <w:r w:rsidRPr="00493AC6">
        <w:rPr>
          <w:rFonts w:ascii="Open Sans" w:hAnsi="Open Sans" w:cs="Open Sans"/>
          <w:sz w:val="20"/>
          <w:vertAlign w:val="superscript"/>
        </w:rPr>
        <w:footnoteReference w:id="33"/>
      </w:r>
      <w:r w:rsidRPr="00493AC6">
        <w:rPr>
          <w:rFonts w:ascii="Open Sans" w:hAnsi="Open Sans" w:cs="Open Sans"/>
        </w:rPr>
        <w:t xml:space="preserve"> grew up in a</w:t>
      </w:r>
      <w:r w:rsidR="003D11DF" w:rsidRPr="00493AC6">
        <w:rPr>
          <w:rFonts w:ascii="Open Sans" w:hAnsi="Open Sans" w:cs="Open Sans"/>
        </w:rPr>
        <w:t>n</w:t>
      </w:r>
      <w:r w:rsidRPr="00493AC6">
        <w:rPr>
          <w:rFonts w:ascii="Open Sans" w:hAnsi="Open Sans" w:cs="Open Sans"/>
        </w:rPr>
        <w:t xml:space="preserve"> </w:t>
      </w:r>
      <w:r w:rsidR="002F6F7A" w:rsidRPr="00493AC6">
        <w:rPr>
          <w:rFonts w:ascii="Open Sans" w:hAnsi="Open Sans" w:cs="Open Sans"/>
        </w:rPr>
        <w:t>Arab</w:t>
      </w:r>
      <w:r w:rsidRPr="00493AC6">
        <w:rPr>
          <w:rFonts w:ascii="Open Sans" w:hAnsi="Open Sans" w:cs="Open Sans"/>
        </w:rPr>
        <w:t xml:space="preserve"> country with her parents and sisters. Kadijah worked hard at school and achieved high marks, enabling her to get into a good university. Kadijah’s father was very supportive and extremely proud of her. </w:t>
      </w:r>
    </w:p>
    <w:p w14:paraId="3368AE1A" w14:textId="77777777" w:rsidR="00D22FF4" w:rsidRPr="00493AC6" w:rsidRDefault="00D22FF4" w:rsidP="007E72F1">
      <w:pPr>
        <w:jc w:val="both"/>
        <w:rPr>
          <w:rFonts w:ascii="Open Sans" w:hAnsi="Open Sans" w:cs="Open Sans"/>
        </w:rPr>
      </w:pPr>
      <w:r w:rsidRPr="00493AC6">
        <w:rPr>
          <w:rFonts w:ascii="Open Sans" w:hAnsi="Open Sans" w:cs="Open Sans"/>
        </w:rPr>
        <w:t>“My father used to say that most men won’t reach this high in [name of vocation]. Because I was so clever, I used to get such high scores, he was so proud. He used to say ‘I know many men, they enter a university, they do [name of vocation] and they find it difficult and they run away to another university, but you stay and you get high scores.”</w:t>
      </w:r>
    </w:p>
    <w:p w14:paraId="51EBEBB1" w14:textId="77777777" w:rsidR="00D22FF4" w:rsidRPr="00493AC6" w:rsidRDefault="00D22FF4" w:rsidP="007E72F1">
      <w:pPr>
        <w:rPr>
          <w:rFonts w:ascii="Open Sans" w:hAnsi="Open Sans" w:cs="Open Sans"/>
        </w:rPr>
      </w:pPr>
      <w:r w:rsidRPr="00493AC6">
        <w:rPr>
          <w:rFonts w:ascii="Open Sans" w:hAnsi="Open Sans" w:cs="Open Sans"/>
        </w:rPr>
        <w:t>Sadly, Kadijah’s father passed away. After this, Kadijah’s uncle became controlling and took the father’s money for himself, leaving Kadjah and her family without a home and having to stay with her mother’s relatives.</w:t>
      </w:r>
    </w:p>
    <w:p w14:paraId="62BDD3BE" w14:textId="77777777" w:rsidR="00D22FF4" w:rsidRPr="00493AC6" w:rsidRDefault="00D22FF4" w:rsidP="007E72F1">
      <w:pPr>
        <w:jc w:val="both"/>
        <w:rPr>
          <w:rFonts w:ascii="Open Sans" w:hAnsi="Open Sans" w:cs="Open Sans"/>
        </w:rPr>
      </w:pPr>
      <w:r w:rsidRPr="00493AC6">
        <w:rPr>
          <w:rFonts w:ascii="Open Sans" w:hAnsi="Open Sans" w:cs="Open Sans"/>
        </w:rPr>
        <w:t>“When my father passed away my uncles were controlling […] my uncle suggested that he would help us because my mum was in a bad situation; she was grieving, he said that he would help us because he’s my uncle, he’s my father’s brother. He took a paper from us and then with the paper he took all my father’s money, and he kicked us out from living in the house we were in, and he said, ‘</w:t>
      </w:r>
      <w:r w:rsidR="00AD2E6A" w:rsidRPr="00493AC6">
        <w:rPr>
          <w:rFonts w:ascii="Open Sans" w:hAnsi="Open Sans" w:cs="Open Sans"/>
        </w:rPr>
        <w:t xml:space="preserve">your </w:t>
      </w:r>
      <w:r w:rsidRPr="00493AC6">
        <w:rPr>
          <w:rFonts w:ascii="Open Sans" w:hAnsi="Open Sans" w:cs="Open Sans"/>
        </w:rPr>
        <w:t>father didn’t leave a son, so all his money will be mine […] it was horrible.”</w:t>
      </w:r>
    </w:p>
    <w:p w14:paraId="27711630" w14:textId="77777777" w:rsidR="00D22FF4" w:rsidRPr="00493AC6" w:rsidRDefault="00D22FF4" w:rsidP="007E72F1">
      <w:pPr>
        <w:rPr>
          <w:rFonts w:ascii="Open Sans" w:hAnsi="Open Sans" w:cs="Open Sans"/>
        </w:rPr>
      </w:pPr>
      <w:r w:rsidRPr="00493AC6">
        <w:rPr>
          <w:rFonts w:ascii="Open Sans" w:hAnsi="Open Sans" w:cs="Open Sans"/>
        </w:rPr>
        <w:lastRenderedPageBreak/>
        <w:t>Kadijah then worked whilst she was still in full-time education in order to support her mother in buying them a house. Unfortunately, as Kadijah explained, laws and customs in her home country make it very difficult to live as a woman without a man, therefore, Kadijah’s family still had to retain some contact with her father’s family. Kadijah’s mother also hoped for her to find a good husband so that things would be easier for her.</w:t>
      </w:r>
    </w:p>
    <w:p w14:paraId="386CF413" w14:textId="2E9A17E0" w:rsidR="00D22FF4" w:rsidRDefault="00D22FF4" w:rsidP="007E72F1">
      <w:pPr>
        <w:jc w:val="both"/>
        <w:rPr>
          <w:rFonts w:ascii="Open Sans" w:hAnsi="Open Sans" w:cs="Open Sans"/>
        </w:rPr>
      </w:pPr>
      <w:r w:rsidRPr="00493AC6">
        <w:rPr>
          <w:rFonts w:ascii="Open Sans" w:hAnsi="Open Sans" w:cs="Open Sans"/>
        </w:rPr>
        <w:t>“[Name of country] is not like the UK, you need to have men.”</w:t>
      </w:r>
    </w:p>
    <w:p w14:paraId="6892B9C6" w14:textId="77777777" w:rsidR="00642299" w:rsidRPr="00493AC6" w:rsidRDefault="00642299" w:rsidP="007E72F1">
      <w:pPr>
        <w:jc w:val="both"/>
        <w:rPr>
          <w:rFonts w:ascii="Open Sans" w:hAnsi="Open Sans" w:cs="Open Sans"/>
        </w:rPr>
      </w:pPr>
    </w:p>
    <w:p w14:paraId="46DC3F10" w14:textId="77777777" w:rsidR="00D22FF4" w:rsidRPr="00493AC6" w:rsidRDefault="00D22FF4" w:rsidP="003561CD">
      <w:pPr>
        <w:pStyle w:val="Heading3"/>
        <w:rPr>
          <w:iCs/>
        </w:rPr>
      </w:pPr>
      <w:r w:rsidRPr="00493AC6">
        <w:t>Meeting her partner</w:t>
      </w:r>
    </w:p>
    <w:p w14:paraId="0A6C3191" w14:textId="77777777" w:rsidR="00D22FF4" w:rsidRPr="00493AC6" w:rsidRDefault="00D22FF4" w:rsidP="007E72F1">
      <w:pPr>
        <w:rPr>
          <w:rFonts w:ascii="Open Sans" w:hAnsi="Open Sans" w:cs="Open Sans"/>
        </w:rPr>
      </w:pPr>
      <w:r w:rsidRPr="00493AC6">
        <w:rPr>
          <w:rFonts w:ascii="Open Sans" w:hAnsi="Open Sans" w:cs="Open Sans"/>
        </w:rPr>
        <w:t>As mentioned, Kadijah was very successful in her chosen career path and landed herself a scholarship opportunity in the UK. This was how she came to meet Oliver</w:t>
      </w:r>
      <w:r w:rsidRPr="00493AC6">
        <w:rPr>
          <w:rFonts w:ascii="Open Sans" w:hAnsi="Open Sans" w:cs="Open Sans"/>
          <w:sz w:val="20"/>
          <w:vertAlign w:val="superscript"/>
        </w:rPr>
        <w:footnoteReference w:id="34"/>
      </w:r>
      <w:r w:rsidR="009D77E6" w:rsidRPr="00493AC6">
        <w:rPr>
          <w:rFonts w:ascii="Open Sans" w:hAnsi="Open Sans" w:cs="Open Sans"/>
        </w:rPr>
        <w:t xml:space="preserve">. </w:t>
      </w:r>
    </w:p>
    <w:p w14:paraId="30A65D3D" w14:textId="2D4CEB32" w:rsidR="00D22FF4" w:rsidRPr="00493AC6" w:rsidRDefault="00D22FF4" w:rsidP="007E72F1">
      <w:pPr>
        <w:jc w:val="both"/>
        <w:rPr>
          <w:rFonts w:ascii="Open Sans" w:hAnsi="Open Sans" w:cs="Open Sans"/>
        </w:rPr>
      </w:pPr>
      <w:r w:rsidRPr="00493AC6">
        <w:rPr>
          <w:rFonts w:ascii="Open Sans" w:hAnsi="Open Sans" w:cs="Open Sans"/>
        </w:rPr>
        <w:t>“He was telling me loads of stories about human rights and telling me how people should be supported […] I was seriously taken by the idea because he [was] different. Different than anyone I met before. [I thought] he’s more… he has more humanity and has more morals and things I have ever seen in my country. So, I really fell in love with him from the [start].”</w:t>
      </w:r>
    </w:p>
    <w:p w14:paraId="28EAB025" w14:textId="77777777" w:rsidR="00D22FF4" w:rsidRPr="00493AC6" w:rsidRDefault="00D22FF4" w:rsidP="007E72F1">
      <w:pPr>
        <w:rPr>
          <w:rFonts w:ascii="Open Sans" w:hAnsi="Open Sans" w:cs="Open Sans"/>
        </w:rPr>
      </w:pPr>
      <w:r w:rsidRPr="00493AC6">
        <w:rPr>
          <w:rFonts w:ascii="Open Sans" w:hAnsi="Open Sans" w:cs="Open Sans"/>
        </w:rPr>
        <w:lastRenderedPageBreak/>
        <w:t>It became clear from speaking with Kadijah that this man was able to exploit the experiences that Kadijah had previously had back home to convince her that she was safer with him.</w:t>
      </w:r>
    </w:p>
    <w:p w14:paraId="4E743908" w14:textId="3F8E3947" w:rsidR="00D22FF4" w:rsidRDefault="00D22FF4" w:rsidP="007E72F1">
      <w:pPr>
        <w:jc w:val="both"/>
        <w:rPr>
          <w:rFonts w:ascii="Open Sans" w:hAnsi="Open Sans" w:cs="Open Sans"/>
        </w:rPr>
      </w:pPr>
      <w:r w:rsidRPr="00493AC6">
        <w:rPr>
          <w:rFonts w:ascii="Open Sans" w:hAnsi="Open Sans" w:cs="Open Sans"/>
        </w:rPr>
        <w:t>“When [Oliver] proposed to me and he’s English, he said he will never hit me, he will never hurt me, and he won’t be an Arabic man to me. So, I thought [everything would be okay].”</w:t>
      </w:r>
    </w:p>
    <w:p w14:paraId="4E383BD9" w14:textId="77777777" w:rsidR="00642299" w:rsidRPr="00493AC6" w:rsidRDefault="00642299" w:rsidP="007E72F1">
      <w:pPr>
        <w:jc w:val="both"/>
        <w:rPr>
          <w:rFonts w:ascii="Open Sans" w:hAnsi="Open Sans" w:cs="Open Sans"/>
        </w:rPr>
      </w:pPr>
    </w:p>
    <w:p w14:paraId="5BBCCD95" w14:textId="77777777" w:rsidR="00EA56D9" w:rsidRPr="00493AC6" w:rsidRDefault="00EA56D9" w:rsidP="003561CD">
      <w:pPr>
        <w:pStyle w:val="Heading3"/>
        <w:rPr>
          <w:iCs/>
        </w:rPr>
      </w:pPr>
      <w:r w:rsidRPr="00493AC6">
        <w:t>How things changed</w:t>
      </w:r>
    </w:p>
    <w:p w14:paraId="7527B99F" w14:textId="77777777" w:rsidR="00D22FF4" w:rsidRPr="00493AC6" w:rsidRDefault="00CF25DB" w:rsidP="007E72F1">
      <w:pPr>
        <w:rPr>
          <w:rFonts w:ascii="Open Sans" w:hAnsi="Open Sans" w:cs="Open Sans"/>
        </w:rPr>
      </w:pPr>
      <w:r w:rsidRPr="00493AC6">
        <w:rPr>
          <w:rFonts w:ascii="Open Sans" w:hAnsi="Open Sans" w:cs="Open Sans"/>
        </w:rPr>
        <w:t>Kadijah endured emotional abuse and controlling behaviour from both Oliver and the rest of his family. Despite this, Oliver would continuously call Kadijah whenever she would visit her home country, begging her not to leave him again. Although t</w:t>
      </w:r>
      <w:r w:rsidR="00D22FF4" w:rsidRPr="00493AC6">
        <w:rPr>
          <w:rFonts w:ascii="Open Sans" w:hAnsi="Open Sans" w:cs="Open Sans"/>
        </w:rPr>
        <w:t>he initial plan had been that after they married Oliver would move back to Kadijah’s home country with her</w:t>
      </w:r>
      <w:r w:rsidRPr="00493AC6">
        <w:rPr>
          <w:rFonts w:ascii="Open Sans" w:hAnsi="Open Sans" w:cs="Open Sans"/>
        </w:rPr>
        <w:t>,</w:t>
      </w:r>
      <w:r w:rsidR="00D22FF4" w:rsidRPr="00493AC6">
        <w:rPr>
          <w:rFonts w:ascii="Open Sans" w:hAnsi="Open Sans" w:cs="Open Sans"/>
        </w:rPr>
        <w:t xml:space="preserve"> </w:t>
      </w:r>
      <w:r w:rsidR="004C2871" w:rsidRPr="00493AC6">
        <w:rPr>
          <w:rFonts w:ascii="Open Sans" w:hAnsi="Open Sans" w:cs="Open Sans"/>
        </w:rPr>
        <w:t>Oliver no longer agreed to do this</w:t>
      </w:r>
      <w:r w:rsidR="00D22FF4" w:rsidRPr="00493AC6">
        <w:rPr>
          <w:rFonts w:ascii="Open Sans" w:hAnsi="Open Sans" w:cs="Open Sans"/>
        </w:rPr>
        <w:t>, which put Kadijah in a difficult position as she had a</w:t>
      </w:r>
      <w:r w:rsidR="00EA56D9" w:rsidRPr="00493AC6">
        <w:rPr>
          <w:rFonts w:ascii="Open Sans" w:hAnsi="Open Sans" w:cs="Open Sans"/>
        </w:rPr>
        <w:t xml:space="preserve"> job she needed to go back to. </w:t>
      </w:r>
      <w:r w:rsidR="00D22FF4" w:rsidRPr="00493AC6">
        <w:rPr>
          <w:rFonts w:ascii="Open Sans" w:hAnsi="Open Sans" w:cs="Open Sans"/>
        </w:rPr>
        <w:t xml:space="preserve">After lots of going and back and forth between the UK and her home country following their marriage, Kadijah decided to </w:t>
      </w:r>
      <w:r w:rsidR="001A2786" w:rsidRPr="00493AC6">
        <w:rPr>
          <w:rFonts w:ascii="Open Sans" w:hAnsi="Open Sans" w:cs="Open Sans"/>
        </w:rPr>
        <w:t xml:space="preserve">apply for her spousal visa </w:t>
      </w:r>
      <w:r w:rsidR="00D22FF4" w:rsidRPr="00493AC6">
        <w:rPr>
          <w:rFonts w:ascii="Open Sans" w:hAnsi="Open Sans" w:cs="Open Sans"/>
        </w:rPr>
        <w:t>after Oliver begged her not to leave him again.</w:t>
      </w:r>
      <w:r w:rsidR="00EA56D9" w:rsidRPr="00493AC6">
        <w:rPr>
          <w:rFonts w:ascii="Open Sans" w:hAnsi="Open Sans" w:cs="Open Sans"/>
        </w:rPr>
        <w:t xml:space="preserve"> Much to Kadijah’s confusion, this became something that Oliver started to use against her.</w:t>
      </w:r>
    </w:p>
    <w:p w14:paraId="10090991" w14:textId="031620B8" w:rsidR="00D22FF4" w:rsidRPr="00493AC6" w:rsidRDefault="00D22FF4" w:rsidP="007E72F1">
      <w:pPr>
        <w:jc w:val="both"/>
        <w:rPr>
          <w:rFonts w:ascii="Open Sans" w:hAnsi="Open Sans" w:cs="Open Sans"/>
        </w:rPr>
      </w:pPr>
      <w:r w:rsidRPr="00493AC6">
        <w:rPr>
          <w:rFonts w:ascii="Open Sans" w:hAnsi="Open Sans" w:cs="Open Sans"/>
        </w:rPr>
        <w:t xml:space="preserve">“He would say ‘You are so lucky to be here. People in [survivor’s home country], they sell their </w:t>
      </w:r>
      <w:r w:rsidR="000E5603" w:rsidRPr="00493AC6">
        <w:rPr>
          <w:rFonts w:ascii="Open Sans" w:hAnsi="Open Sans" w:cs="Open Sans"/>
        </w:rPr>
        <w:t>[organs]</w:t>
      </w:r>
      <w:r w:rsidRPr="00493AC6">
        <w:rPr>
          <w:rFonts w:ascii="Open Sans" w:hAnsi="Open Sans" w:cs="Open Sans"/>
        </w:rPr>
        <w:t xml:space="preserve"> to be here, [they] jump the sea to be here.’ [But]</w:t>
      </w:r>
      <w:r w:rsidRPr="00493AC6">
        <w:t xml:space="preserve"> </w:t>
      </w:r>
      <w:r w:rsidRPr="00493AC6">
        <w:rPr>
          <w:rFonts w:ascii="Open Sans" w:hAnsi="Open Sans" w:cs="Open Sans"/>
        </w:rPr>
        <w:t xml:space="preserve">I didn’t choose to be here. I even put in the marriage </w:t>
      </w:r>
      <w:r w:rsidRPr="00493AC6">
        <w:rPr>
          <w:rFonts w:ascii="Open Sans" w:hAnsi="Open Sans" w:cs="Open Sans"/>
        </w:rPr>
        <w:lastRenderedPageBreak/>
        <w:t>contract that he was coming to [survivor’s home country] to be with me.”</w:t>
      </w:r>
    </w:p>
    <w:p w14:paraId="45C0BC71" w14:textId="77777777" w:rsidR="001A2786" w:rsidRPr="00493AC6" w:rsidRDefault="001A2786" w:rsidP="007E72F1">
      <w:pPr>
        <w:rPr>
          <w:rFonts w:ascii="Open Sans" w:hAnsi="Open Sans" w:cs="Open Sans"/>
          <w:color w:val="262626" w:themeColor="text1"/>
        </w:rPr>
      </w:pPr>
      <w:r w:rsidRPr="00493AC6">
        <w:rPr>
          <w:rFonts w:ascii="Open Sans" w:hAnsi="Open Sans" w:cs="Open Sans"/>
          <w:color w:val="262626" w:themeColor="text1"/>
        </w:rPr>
        <w:t xml:space="preserve">In order to settle </w:t>
      </w:r>
      <w:r w:rsidR="00F61573" w:rsidRPr="00493AC6">
        <w:rPr>
          <w:rFonts w:ascii="Open Sans" w:hAnsi="Open Sans" w:cs="Open Sans"/>
          <w:color w:val="262626" w:themeColor="text1"/>
        </w:rPr>
        <w:t xml:space="preserve">properly </w:t>
      </w:r>
      <w:r w:rsidR="0077057C" w:rsidRPr="00493AC6">
        <w:rPr>
          <w:rFonts w:ascii="Open Sans" w:hAnsi="Open Sans" w:cs="Open Sans"/>
          <w:color w:val="262626" w:themeColor="text1"/>
        </w:rPr>
        <w:t xml:space="preserve">in </w:t>
      </w:r>
      <w:r w:rsidR="00F61573" w:rsidRPr="00493AC6">
        <w:rPr>
          <w:rFonts w:ascii="Open Sans" w:hAnsi="Open Sans" w:cs="Open Sans"/>
          <w:color w:val="262626" w:themeColor="text1"/>
        </w:rPr>
        <w:t xml:space="preserve">the UK Kadijah needed to leave her job, unfortunately this involved </w:t>
      </w:r>
      <w:r w:rsidR="00AD1D97" w:rsidRPr="00493AC6">
        <w:rPr>
          <w:rFonts w:ascii="Open Sans" w:hAnsi="Open Sans" w:cs="Open Sans"/>
          <w:color w:val="262626" w:themeColor="text1"/>
        </w:rPr>
        <w:t>Kadijah having to make a ‘</w:t>
      </w:r>
      <w:r w:rsidR="00F61573" w:rsidRPr="00493AC6">
        <w:rPr>
          <w:rFonts w:ascii="Open Sans" w:hAnsi="Open Sans" w:cs="Open Sans"/>
          <w:color w:val="262626" w:themeColor="text1"/>
        </w:rPr>
        <w:t>pay out</w:t>
      </w:r>
      <w:r w:rsidR="00AD1D97" w:rsidRPr="00493AC6">
        <w:rPr>
          <w:rFonts w:ascii="Open Sans" w:hAnsi="Open Sans" w:cs="Open Sans"/>
          <w:color w:val="262626" w:themeColor="text1"/>
        </w:rPr>
        <w:t>’</w:t>
      </w:r>
      <w:r w:rsidR="00F61573" w:rsidRPr="00493AC6">
        <w:rPr>
          <w:rFonts w:ascii="Open Sans" w:hAnsi="Open Sans" w:cs="Open Sans"/>
          <w:color w:val="262626" w:themeColor="text1"/>
        </w:rPr>
        <w:t xml:space="preserve"> because she was contracted to continue working her job after her scholarship ended. </w:t>
      </w:r>
      <w:r w:rsidR="009C40A7" w:rsidRPr="00493AC6">
        <w:rPr>
          <w:rFonts w:ascii="Open Sans" w:hAnsi="Open Sans" w:cs="Open Sans"/>
          <w:color w:val="262626" w:themeColor="text1"/>
        </w:rPr>
        <w:t>Kadijah’s mother, wanting to support her daughter as best she could, sold the property so that these fees could be paid off</w:t>
      </w:r>
      <w:r w:rsidR="005C2D3D" w:rsidRPr="00493AC6">
        <w:rPr>
          <w:rFonts w:ascii="Open Sans" w:hAnsi="Open Sans" w:cs="Open Sans"/>
          <w:color w:val="262626" w:themeColor="text1"/>
        </w:rPr>
        <w:t>; the same house that Kadijah and her mother had worked extremely hard to save for whilst Kadijah had still been studying</w:t>
      </w:r>
      <w:r w:rsidR="009C40A7" w:rsidRPr="00493AC6">
        <w:rPr>
          <w:rFonts w:ascii="Open Sans" w:hAnsi="Open Sans" w:cs="Open Sans"/>
          <w:color w:val="262626" w:themeColor="text1"/>
        </w:rPr>
        <w:t xml:space="preserve">. </w:t>
      </w:r>
    </w:p>
    <w:p w14:paraId="0E0A20CF" w14:textId="77777777" w:rsidR="00737AEA" w:rsidRPr="00493AC6" w:rsidRDefault="00B14814" w:rsidP="007E72F1">
      <w:pPr>
        <w:rPr>
          <w:rFonts w:ascii="Open Sans" w:hAnsi="Open Sans" w:cs="Open Sans"/>
          <w:color w:val="262626" w:themeColor="text1"/>
        </w:rPr>
      </w:pPr>
      <w:r w:rsidRPr="00493AC6">
        <w:rPr>
          <w:rFonts w:ascii="Open Sans" w:hAnsi="Open Sans" w:cs="Open Sans"/>
          <w:color w:val="262626" w:themeColor="text1"/>
        </w:rPr>
        <w:t xml:space="preserve">When Kadijah returned </w:t>
      </w:r>
      <w:r w:rsidR="005C2D3D" w:rsidRPr="00493AC6">
        <w:rPr>
          <w:rFonts w:ascii="Open Sans" w:hAnsi="Open Sans" w:cs="Open Sans"/>
          <w:color w:val="262626" w:themeColor="text1"/>
        </w:rPr>
        <w:t>after leaving her job</w:t>
      </w:r>
      <w:r w:rsidRPr="00493AC6">
        <w:rPr>
          <w:rFonts w:ascii="Open Sans" w:hAnsi="Open Sans" w:cs="Open Sans"/>
          <w:color w:val="262626" w:themeColor="text1"/>
        </w:rPr>
        <w:t xml:space="preserve"> Oliver refused to let her in to their home, becoming physically and verbally threatening to</w:t>
      </w:r>
      <w:r w:rsidR="00112D79" w:rsidRPr="00493AC6">
        <w:rPr>
          <w:rFonts w:ascii="Open Sans" w:hAnsi="Open Sans" w:cs="Open Sans"/>
          <w:color w:val="262626" w:themeColor="text1"/>
        </w:rPr>
        <w:t>wards her, getting the rest of his family involved in trying to force Kadijah to leave.</w:t>
      </w:r>
    </w:p>
    <w:p w14:paraId="35994BF0" w14:textId="172DC429" w:rsidR="009C40A7" w:rsidRDefault="00B14814" w:rsidP="007E72F1">
      <w:pPr>
        <w:jc w:val="both"/>
        <w:rPr>
          <w:rFonts w:ascii="Open Sans" w:hAnsi="Open Sans" w:cs="Open Sans"/>
          <w:color w:val="262626" w:themeColor="text1"/>
        </w:rPr>
      </w:pPr>
      <w:r w:rsidRPr="00493AC6">
        <w:rPr>
          <w:rFonts w:ascii="Open Sans" w:hAnsi="Open Sans" w:cs="Open Sans"/>
          <w:color w:val="262626" w:themeColor="text1"/>
        </w:rPr>
        <w:t>“He started shouting ‘I will kill you!’ and ‘I don’t want you! I’ll drive you to the airport and you can get the first flight. Go back to [survivors’ home country]!’”</w:t>
      </w:r>
    </w:p>
    <w:p w14:paraId="51CB03E7" w14:textId="77777777" w:rsidR="00642299" w:rsidRPr="00493AC6" w:rsidRDefault="00642299" w:rsidP="007E72F1">
      <w:pPr>
        <w:jc w:val="both"/>
        <w:rPr>
          <w:rFonts w:ascii="Open Sans" w:hAnsi="Open Sans" w:cs="Open Sans"/>
          <w:color w:val="262626" w:themeColor="text1"/>
        </w:rPr>
      </w:pPr>
    </w:p>
    <w:p w14:paraId="55030C81" w14:textId="02B9009A" w:rsidR="00112D79" w:rsidRPr="00493AC6" w:rsidRDefault="00486C21" w:rsidP="003561CD">
      <w:pPr>
        <w:pStyle w:val="Heading3"/>
        <w:rPr>
          <w:iCs/>
        </w:rPr>
      </w:pPr>
      <w:r w:rsidRPr="00493AC6">
        <w:t>Police i</w:t>
      </w:r>
      <w:r w:rsidR="00112D79" w:rsidRPr="00493AC6">
        <w:t>nvolvement</w:t>
      </w:r>
    </w:p>
    <w:p w14:paraId="7103944A" w14:textId="77777777" w:rsidR="00112D79" w:rsidRPr="00493AC6" w:rsidRDefault="00112D79" w:rsidP="007E72F1">
      <w:pPr>
        <w:rPr>
          <w:rFonts w:ascii="Open Sans" w:hAnsi="Open Sans" w:cs="Open Sans"/>
          <w:color w:val="262626" w:themeColor="text1"/>
        </w:rPr>
      </w:pPr>
      <w:r w:rsidRPr="00493AC6">
        <w:rPr>
          <w:rFonts w:ascii="Open Sans" w:hAnsi="Open Sans" w:cs="Open Sans"/>
          <w:color w:val="262626" w:themeColor="text1"/>
        </w:rPr>
        <w:t xml:space="preserve">When </w:t>
      </w:r>
      <w:r w:rsidR="009B2B30" w:rsidRPr="00493AC6">
        <w:rPr>
          <w:rFonts w:ascii="Open Sans" w:hAnsi="Open Sans" w:cs="Open Sans"/>
          <w:color w:val="262626" w:themeColor="text1"/>
        </w:rPr>
        <w:t xml:space="preserve">the police became involved Kadijah was shocked to find how quickly the police sided with Oliver over herself. </w:t>
      </w:r>
    </w:p>
    <w:p w14:paraId="315CDC83" w14:textId="77777777" w:rsidR="009B2B30" w:rsidRPr="00493AC6" w:rsidRDefault="009B2B30" w:rsidP="007E72F1">
      <w:pPr>
        <w:jc w:val="both"/>
        <w:rPr>
          <w:rFonts w:ascii="Open Sans" w:hAnsi="Open Sans" w:cs="Open Sans"/>
          <w:color w:val="262626" w:themeColor="text1"/>
        </w:rPr>
      </w:pPr>
      <w:r w:rsidRPr="00493AC6">
        <w:rPr>
          <w:rFonts w:ascii="Open Sans" w:hAnsi="Open Sans" w:cs="Open Sans"/>
          <w:color w:val="262626" w:themeColor="text1"/>
        </w:rPr>
        <w:t>“The police listened to him more than me, they didn’t let me speak. I felt like I was a criminal.”</w:t>
      </w:r>
    </w:p>
    <w:p w14:paraId="52844A5B" w14:textId="77777777" w:rsidR="009B2B30" w:rsidRPr="00493AC6" w:rsidRDefault="009B2B30" w:rsidP="007E72F1">
      <w:pPr>
        <w:rPr>
          <w:rFonts w:ascii="Open Sans" w:hAnsi="Open Sans" w:cs="Open Sans"/>
          <w:color w:val="262626" w:themeColor="text1"/>
        </w:rPr>
      </w:pPr>
      <w:r w:rsidRPr="00493AC6">
        <w:rPr>
          <w:rFonts w:ascii="Open Sans" w:hAnsi="Open Sans" w:cs="Open Sans"/>
          <w:color w:val="262626" w:themeColor="text1"/>
        </w:rPr>
        <w:lastRenderedPageBreak/>
        <w:t>When Kadijah explained her situation and asked for help</w:t>
      </w:r>
      <w:r w:rsidR="00923D77" w:rsidRPr="00493AC6">
        <w:rPr>
          <w:rFonts w:ascii="Open Sans" w:hAnsi="Open Sans" w:cs="Open Sans"/>
          <w:color w:val="262626" w:themeColor="text1"/>
        </w:rPr>
        <w:t>,</w:t>
      </w:r>
      <w:r w:rsidRPr="00493AC6">
        <w:rPr>
          <w:rFonts w:ascii="Open Sans" w:hAnsi="Open Sans" w:cs="Open Sans"/>
          <w:color w:val="262626" w:themeColor="text1"/>
        </w:rPr>
        <w:t xml:space="preserve"> the police told her (incorrectly) that she didn’t have any rights, and failed to point her in the direction of any support services and anyone she could turn to.</w:t>
      </w:r>
    </w:p>
    <w:p w14:paraId="38256AD0" w14:textId="7ACB8C38" w:rsidR="00112D79" w:rsidRDefault="00112D79" w:rsidP="007E72F1">
      <w:pPr>
        <w:jc w:val="both"/>
        <w:rPr>
          <w:rFonts w:ascii="Open Sans" w:hAnsi="Open Sans" w:cs="Open Sans"/>
          <w:color w:val="262626" w:themeColor="text1"/>
        </w:rPr>
      </w:pPr>
      <w:r w:rsidRPr="00493AC6">
        <w:rPr>
          <w:rFonts w:ascii="Open Sans" w:hAnsi="Open Sans" w:cs="Open Sans"/>
          <w:color w:val="262626" w:themeColor="text1"/>
        </w:rPr>
        <w:t>“I told them ‘I don’t know where to go, I’m his wife. I need to know</w:t>
      </w:r>
      <w:r w:rsidR="00AC4AD1" w:rsidRPr="00493AC6">
        <w:rPr>
          <w:rFonts w:ascii="Open Sans" w:hAnsi="Open Sans" w:cs="Open Sans"/>
          <w:color w:val="262626" w:themeColor="text1"/>
        </w:rPr>
        <w:t>,</w:t>
      </w:r>
      <w:r w:rsidRPr="00493AC6">
        <w:rPr>
          <w:rFonts w:ascii="Open Sans" w:hAnsi="Open Sans" w:cs="Open Sans"/>
          <w:color w:val="262626" w:themeColor="text1"/>
        </w:rPr>
        <w:t xml:space="preserve"> what are my rights her</w:t>
      </w:r>
      <w:r w:rsidR="000E5603" w:rsidRPr="00493AC6">
        <w:rPr>
          <w:rFonts w:ascii="Open Sans" w:hAnsi="Open Sans" w:cs="Open Sans"/>
          <w:color w:val="262626" w:themeColor="text1"/>
        </w:rPr>
        <w:t>e</w:t>
      </w:r>
      <w:r w:rsidRPr="00493AC6">
        <w:rPr>
          <w:rFonts w:ascii="Open Sans" w:hAnsi="Open Sans" w:cs="Open Sans"/>
          <w:color w:val="262626" w:themeColor="text1"/>
        </w:rPr>
        <w:t>?’ They said, ‘yo</w:t>
      </w:r>
      <w:r w:rsidR="009B2B30" w:rsidRPr="00493AC6">
        <w:rPr>
          <w:rFonts w:ascii="Open Sans" w:hAnsi="Open Sans" w:cs="Open Sans"/>
          <w:color w:val="262626" w:themeColor="text1"/>
        </w:rPr>
        <w:t>u have no rights.’”</w:t>
      </w:r>
    </w:p>
    <w:p w14:paraId="6DCF306F" w14:textId="77777777" w:rsidR="00642299" w:rsidRPr="00493AC6" w:rsidRDefault="00642299" w:rsidP="007E72F1">
      <w:pPr>
        <w:jc w:val="both"/>
        <w:rPr>
          <w:rFonts w:ascii="Open Sans" w:hAnsi="Open Sans" w:cs="Open Sans"/>
          <w:color w:val="262626" w:themeColor="text1"/>
        </w:rPr>
      </w:pPr>
    </w:p>
    <w:p w14:paraId="0E7F7AAB" w14:textId="77777777" w:rsidR="00923D77" w:rsidRPr="00493AC6" w:rsidRDefault="00923D77" w:rsidP="003561CD">
      <w:pPr>
        <w:pStyle w:val="Heading3"/>
        <w:rPr>
          <w:iCs/>
        </w:rPr>
      </w:pPr>
      <w:r w:rsidRPr="00493AC6">
        <w:t>Continued harassment from perpetrator</w:t>
      </w:r>
    </w:p>
    <w:p w14:paraId="4B91A213" w14:textId="3CAE11DF" w:rsidR="00923D77" w:rsidRPr="00493AC6" w:rsidRDefault="00923D77" w:rsidP="007E72F1">
      <w:pPr>
        <w:rPr>
          <w:rFonts w:ascii="Open Sans" w:hAnsi="Open Sans" w:cs="Open Sans"/>
        </w:rPr>
      </w:pPr>
      <w:r w:rsidRPr="00493AC6">
        <w:rPr>
          <w:rFonts w:ascii="Open Sans" w:hAnsi="Open Sans" w:cs="Open Sans"/>
        </w:rPr>
        <w:t>Oliver carried on contacting her harassing her, begging her to come back, threatening to kill himself. When Kadijah would not agree Oliver would become threatening.</w:t>
      </w:r>
    </w:p>
    <w:p w14:paraId="2D039655" w14:textId="4D254698" w:rsidR="00923D77" w:rsidRDefault="00923D77" w:rsidP="007E72F1">
      <w:pPr>
        <w:jc w:val="both"/>
        <w:rPr>
          <w:rFonts w:ascii="Open Sans" w:hAnsi="Open Sans" w:cs="Open Sans"/>
        </w:rPr>
      </w:pPr>
      <w:r w:rsidRPr="00493AC6">
        <w:rPr>
          <w:rFonts w:ascii="Open Sans" w:hAnsi="Open Sans" w:cs="Open Sans"/>
        </w:rPr>
        <w:t>“He kept saying that he will use all his power to destroy me […] he would say ‘this country is not for your people or your skin.’”</w:t>
      </w:r>
    </w:p>
    <w:p w14:paraId="2A1222D7" w14:textId="77777777" w:rsidR="00642299" w:rsidRPr="00493AC6" w:rsidRDefault="00642299" w:rsidP="007E72F1">
      <w:pPr>
        <w:jc w:val="both"/>
        <w:rPr>
          <w:rFonts w:ascii="Open Sans" w:hAnsi="Open Sans" w:cs="Open Sans"/>
        </w:rPr>
      </w:pPr>
    </w:p>
    <w:p w14:paraId="7DAB1623" w14:textId="77777777" w:rsidR="00112D79" w:rsidRPr="00493AC6" w:rsidRDefault="00112D79" w:rsidP="003561CD">
      <w:pPr>
        <w:pStyle w:val="Heading3"/>
        <w:rPr>
          <w:iCs/>
        </w:rPr>
      </w:pPr>
      <w:r w:rsidRPr="00493AC6">
        <w:t>Getting help</w:t>
      </w:r>
    </w:p>
    <w:p w14:paraId="277D460F" w14:textId="77777777" w:rsidR="00112D79" w:rsidRPr="00493AC6" w:rsidRDefault="00112D79" w:rsidP="007E72F1">
      <w:pPr>
        <w:rPr>
          <w:rFonts w:ascii="Open Sans" w:hAnsi="Open Sans" w:cs="Open Sans"/>
          <w:color w:val="262626" w:themeColor="text1"/>
        </w:rPr>
      </w:pPr>
      <w:r w:rsidRPr="00493AC6">
        <w:rPr>
          <w:rFonts w:ascii="Open Sans" w:hAnsi="Open Sans" w:cs="Open Sans"/>
          <w:color w:val="262626" w:themeColor="text1"/>
        </w:rPr>
        <w:t>Kadijah experienced serious failings on behalf of the housing team in the local authority, who actually contacted Oliver, who told them that Kadijah was lying about being homeless.</w:t>
      </w:r>
    </w:p>
    <w:p w14:paraId="0BF58558" w14:textId="35F6CA0F" w:rsidR="00112D79" w:rsidRPr="00493AC6" w:rsidRDefault="00112D79" w:rsidP="007E72F1">
      <w:pPr>
        <w:jc w:val="both"/>
        <w:rPr>
          <w:rFonts w:ascii="Open Sans" w:hAnsi="Open Sans" w:cs="Open Sans"/>
          <w:color w:val="262626" w:themeColor="text1"/>
        </w:rPr>
      </w:pPr>
      <w:r w:rsidRPr="00493AC6">
        <w:rPr>
          <w:rFonts w:ascii="Open Sans" w:hAnsi="Open Sans" w:cs="Open Sans"/>
          <w:color w:val="262626" w:themeColor="text1"/>
        </w:rPr>
        <w:t>“The housing worker said ‘you are not eligible to find a place because you are not homeless. I spoke with your husband and agrees for you to go back to [survivors’ home country].’”</w:t>
      </w:r>
    </w:p>
    <w:p w14:paraId="650936EA" w14:textId="15C30D0D" w:rsidR="00112D79" w:rsidRPr="00493AC6" w:rsidRDefault="00112D79" w:rsidP="007E72F1">
      <w:pPr>
        <w:rPr>
          <w:rFonts w:ascii="Open Sans" w:hAnsi="Open Sans" w:cs="Open Sans"/>
          <w:color w:val="262626" w:themeColor="text1"/>
        </w:rPr>
      </w:pPr>
      <w:r w:rsidRPr="00493AC6">
        <w:rPr>
          <w:rFonts w:ascii="Open Sans" w:hAnsi="Open Sans" w:cs="Open Sans"/>
          <w:color w:val="262626" w:themeColor="text1"/>
        </w:rPr>
        <w:t xml:space="preserve">Under Chapter 21 of the Homelessness Code of Guidance (DLUHC, 2022), local authorities are instructed to not approach the </w:t>
      </w:r>
      <w:r w:rsidRPr="00493AC6">
        <w:rPr>
          <w:rFonts w:ascii="Open Sans" w:hAnsi="Open Sans" w:cs="Open Sans"/>
          <w:color w:val="262626" w:themeColor="text1"/>
        </w:rPr>
        <w:lastRenderedPageBreak/>
        <w:t>perpetrator when deciding if they have a duty to accommodate someone presenting as homeless because of domestic abuse. This guidance exists to protect survivors, and th</w:t>
      </w:r>
      <w:r w:rsidR="00576BFB" w:rsidRPr="00493AC6">
        <w:rPr>
          <w:rFonts w:ascii="Open Sans" w:hAnsi="Open Sans" w:cs="Open Sans"/>
          <w:color w:val="262626" w:themeColor="text1"/>
        </w:rPr>
        <w:t>e</w:t>
      </w:r>
      <w:r w:rsidRPr="00493AC6">
        <w:rPr>
          <w:rFonts w:ascii="Open Sans" w:hAnsi="Open Sans" w:cs="Open Sans"/>
          <w:color w:val="262626" w:themeColor="text1"/>
        </w:rPr>
        <w:t xml:space="preserve"> housing worker’s </w:t>
      </w:r>
      <w:r w:rsidR="00576BFB" w:rsidRPr="00493AC6">
        <w:rPr>
          <w:rFonts w:ascii="Open Sans" w:hAnsi="Open Sans" w:cs="Open Sans"/>
          <w:color w:val="262626" w:themeColor="text1"/>
        </w:rPr>
        <w:t xml:space="preserve">action did not show </w:t>
      </w:r>
      <w:r w:rsidRPr="00493AC6">
        <w:rPr>
          <w:rFonts w:ascii="Open Sans" w:hAnsi="Open Sans" w:cs="Open Sans"/>
          <w:color w:val="262626" w:themeColor="text1"/>
        </w:rPr>
        <w:t>regard for Kadijah’s safety</w:t>
      </w:r>
      <w:r w:rsidR="00576BFB" w:rsidRPr="00493AC6">
        <w:rPr>
          <w:rFonts w:ascii="Open Sans" w:hAnsi="Open Sans" w:cs="Open Sans"/>
          <w:color w:val="262626" w:themeColor="text1"/>
        </w:rPr>
        <w:t>, which</w:t>
      </w:r>
      <w:r w:rsidRPr="00493AC6">
        <w:rPr>
          <w:rFonts w:ascii="Open Sans" w:hAnsi="Open Sans" w:cs="Open Sans"/>
          <w:color w:val="262626" w:themeColor="text1"/>
        </w:rPr>
        <w:t xml:space="preserve"> could not better highlight the </w:t>
      </w:r>
      <w:r w:rsidR="00A6256C" w:rsidRPr="00493AC6">
        <w:rPr>
          <w:rFonts w:ascii="Open Sans" w:hAnsi="Open Sans" w:cs="Open Sans"/>
          <w:color w:val="262626" w:themeColor="text1"/>
        </w:rPr>
        <w:t>need for the NWTA project, who can challenge such responses.</w:t>
      </w:r>
    </w:p>
    <w:p w14:paraId="2D8CA6D2" w14:textId="77777777" w:rsidR="00923D77" w:rsidRPr="00493AC6" w:rsidRDefault="00923D77" w:rsidP="007E72F1">
      <w:pPr>
        <w:rPr>
          <w:rFonts w:ascii="Open Sans" w:hAnsi="Open Sans" w:cs="Open Sans"/>
          <w:b/>
          <w:color w:val="262626" w:themeColor="text1"/>
        </w:rPr>
      </w:pPr>
      <w:r w:rsidRPr="00493AC6">
        <w:rPr>
          <w:rFonts w:ascii="Open Sans" w:hAnsi="Open Sans" w:cs="Open Sans"/>
          <w:color w:val="262626" w:themeColor="text1"/>
        </w:rPr>
        <w:t xml:space="preserve">Kadijah also contacted her local </w:t>
      </w:r>
      <w:r w:rsidR="00AD1D97" w:rsidRPr="00493AC6">
        <w:rPr>
          <w:rFonts w:ascii="Open Sans" w:hAnsi="Open Sans" w:cs="Open Sans"/>
          <w:color w:val="262626" w:themeColor="text1"/>
        </w:rPr>
        <w:t xml:space="preserve">religious </w:t>
      </w:r>
      <w:r w:rsidRPr="00493AC6">
        <w:rPr>
          <w:rFonts w:ascii="Open Sans" w:hAnsi="Open Sans" w:cs="Open Sans"/>
          <w:color w:val="262626" w:themeColor="text1"/>
        </w:rPr>
        <w:t>centre, who also turned her away because of her marrying an English man.</w:t>
      </w:r>
    </w:p>
    <w:p w14:paraId="07E88AC7" w14:textId="77777777" w:rsidR="00923D77" w:rsidRPr="00493AC6" w:rsidRDefault="00923D77" w:rsidP="007E72F1">
      <w:pPr>
        <w:rPr>
          <w:rFonts w:ascii="Open Sans" w:hAnsi="Open Sans" w:cs="Open Sans"/>
          <w:color w:val="262626" w:themeColor="text1"/>
        </w:rPr>
      </w:pPr>
      <w:r w:rsidRPr="00493AC6">
        <w:rPr>
          <w:rFonts w:ascii="Open Sans" w:hAnsi="Open Sans" w:cs="Open Sans"/>
          <w:color w:val="262626" w:themeColor="text1"/>
        </w:rPr>
        <w:t xml:space="preserve">“The woman from the </w:t>
      </w:r>
      <w:r w:rsidR="00AD1D97" w:rsidRPr="00493AC6">
        <w:rPr>
          <w:rFonts w:ascii="Open Sans" w:hAnsi="Open Sans" w:cs="Open Sans"/>
          <w:color w:val="262626" w:themeColor="text1"/>
        </w:rPr>
        <w:t xml:space="preserve">[religious] </w:t>
      </w:r>
      <w:r w:rsidRPr="00493AC6">
        <w:rPr>
          <w:rFonts w:ascii="Open Sans" w:hAnsi="Open Sans" w:cs="Open Sans"/>
          <w:color w:val="262626" w:themeColor="text1"/>
        </w:rPr>
        <w:t>centre said ‘we can’t take you because he’s white and he’s English.’”</w:t>
      </w:r>
    </w:p>
    <w:p w14:paraId="7F20A884" w14:textId="64AC3502" w:rsidR="00112D79" w:rsidRDefault="00923D77" w:rsidP="007E72F1">
      <w:pPr>
        <w:rPr>
          <w:rFonts w:ascii="Open Sans" w:hAnsi="Open Sans" w:cs="Open Sans"/>
          <w:color w:val="262626" w:themeColor="text1"/>
        </w:rPr>
      </w:pPr>
      <w:r w:rsidRPr="00493AC6">
        <w:rPr>
          <w:rFonts w:ascii="Open Sans" w:hAnsi="Open Sans" w:cs="Open Sans"/>
          <w:color w:val="262626" w:themeColor="text1"/>
        </w:rPr>
        <w:t>This woman did however tell Kadijah that what she had experienced was domestic abuse, and encouraged her to get in touch with a support line. The support line directed her to an organisation that provided her with some temporary accommodation</w:t>
      </w:r>
      <w:r w:rsidR="000B65DF" w:rsidRPr="00493AC6">
        <w:rPr>
          <w:rFonts w:ascii="Open Sans" w:hAnsi="Open Sans" w:cs="Open Sans"/>
          <w:color w:val="262626" w:themeColor="text1"/>
        </w:rPr>
        <w:t xml:space="preserve"> and put her in touch with the local domestic abuse service.</w:t>
      </w:r>
    </w:p>
    <w:p w14:paraId="3D7A702F" w14:textId="77777777" w:rsidR="00642299" w:rsidRPr="00493AC6" w:rsidRDefault="00642299" w:rsidP="007E72F1">
      <w:pPr>
        <w:rPr>
          <w:rFonts w:ascii="Open Sans" w:hAnsi="Open Sans" w:cs="Open Sans"/>
          <w:color w:val="262626" w:themeColor="text1"/>
        </w:rPr>
      </w:pPr>
    </w:p>
    <w:p w14:paraId="22EDC0F2" w14:textId="77777777" w:rsidR="00A6256C" w:rsidRPr="00493AC6" w:rsidRDefault="00A6256C" w:rsidP="003561CD">
      <w:pPr>
        <w:pStyle w:val="Heading3"/>
        <w:rPr>
          <w:iCs/>
        </w:rPr>
      </w:pPr>
      <w:r w:rsidRPr="00493AC6">
        <w:t>Support from NWTA</w:t>
      </w:r>
    </w:p>
    <w:p w14:paraId="160FDA76" w14:textId="77777777" w:rsidR="002206F8" w:rsidRPr="00493AC6" w:rsidRDefault="002206F8" w:rsidP="007E72F1">
      <w:pPr>
        <w:rPr>
          <w:rFonts w:ascii="Open Sans" w:hAnsi="Open Sans" w:cs="Open Sans"/>
        </w:rPr>
      </w:pPr>
      <w:r w:rsidRPr="00493AC6">
        <w:rPr>
          <w:rFonts w:ascii="Open Sans" w:hAnsi="Open Sans" w:cs="Open Sans"/>
        </w:rPr>
        <w:t xml:space="preserve">The local domestic abuse service referred Kadijah to the NWTA project. The NWTA practitioner then worked with Kadijah and the organisation accommodating her to get her immigration advice, and an application for the DDVC was made. </w:t>
      </w:r>
    </w:p>
    <w:p w14:paraId="793C8C79" w14:textId="77777777" w:rsidR="001C50A8" w:rsidRPr="00493AC6" w:rsidRDefault="001C50A8" w:rsidP="007E72F1">
      <w:pPr>
        <w:rPr>
          <w:rFonts w:ascii="Open Sans" w:hAnsi="Open Sans" w:cs="Open Sans"/>
        </w:rPr>
      </w:pPr>
      <w:r w:rsidRPr="00493AC6">
        <w:rPr>
          <w:rFonts w:ascii="Open Sans" w:hAnsi="Open Sans" w:cs="Open Sans"/>
        </w:rPr>
        <w:lastRenderedPageBreak/>
        <w:t xml:space="preserve">The NWTA practitioner was able to find Kadijah a suitable </w:t>
      </w:r>
      <w:r w:rsidR="00AD1D97" w:rsidRPr="00493AC6">
        <w:rPr>
          <w:rFonts w:ascii="Open Sans" w:hAnsi="Open Sans" w:cs="Open Sans"/>
        </w:rPr>
        <w:t xml:space="preserve">space in a refuge service ‘by and for’ </w:t>
      </w:r>
      <w:r w:rsidRPr="00493AC6">
        <w:rPr>
          <w:rFonts w:ascii="Open Sans" w:hAnsi="Open Sans" w:cs="Open Sans"/>
        </w:rPr>
        <w:t>Black and minorit</w:t>
      </w:r>
      <w:r w:rsidR="00AD1D97" w:rsidRPr="00493AC6">
        <w:rPr>
          <w:rFonts w:ascii="Open Sans" w:hAnsi="Open Sans" w:cs="Open Sans"/>
        </w:rPr>
        <w:t>i</w:t>
      </w:r>
      <w:r w:rsidRPr="00493AC6">
        <w:rPr>
          <w:rFonts w:ascii="Open Sans" w:hAnsi="Open Sans" w:cs="Open Sans"/>
        </w:rPr>
        <w:t xml:space="preserve">sed </w:t>
      </w:r>
      <w:r w:rsidR="00AD1D97" w:rsidRPr="00493AC6">
        <w:rPr>
          <w:rFonts w:ascii="Open Sans" w:hAnsi="Open Sans" w:cs="Open Sans"/>
        </w:rPr>
        <w:t>women</w:t>
      </w:r>
      <w:r w:rsidRPr="00493AC6">
        <w:rPr>
          <w:rFonts w:ascii="Open Sans" w:hAnsi="Open Sans" w:cs="Open Sans"/>
        </w:rPr>
        <w:t xml:space="preserve"> in a safe area</w:t>
      </w:r>
      <w:r w:rsidR="00AD1D97" w:rsidRPr="00493AC6">
        <w:rPr>
          <w:rFonts w:ascii="Open Sans" w:hAnsi="Open Sans" w:cs="Open Sans"/>
        </w:rPr>
        <w:t>. This</w:t>
      </w:r>
      <w:r w:rsidRPr="00493AC6">
        <w:rPr>
          <w:rFonts w:ascii="Open Sans" w:hAnsi="Open Sans" w:cs="Open Sans"/>
        </w:rPr>
        <w:t xml:space="preserve"> is exactly what Kadijah had hoped for. </w:t>
      </w:r>
    </w:p>
    <w:p w14:paraId="22E5F339" w14:textId="77777777" w:rsidR="001C50A8" w:rsidRPr="00493AC6" w:rsidRDefault="001C50A8" w:rsidP="007E72F1">
      <w:pPr>
        <w:jc w:val="both"/>
        <w:rPr>
          <w:rFonts w:ascii="Open Sans" w:hAnsi="Open Sans" w:cs="Open Sans"/>
        </w:rPr>
      </w:pPr>
      <w:r w:rsidRPr="00493AC6">
        <w:rPr>
          <w:rFonts w:ascii="Open Sans" w:hAnsi="Open Sans" w:cs="Open Sans"/>
        </w:rPr>
        <w:t xml:space="preserve">“She was good, she always used to call me and helped me find this refuge. […] </w:t>
      </w:r>
      <w:r w:rsidR="00AD1D97" w:rsidRPr="00493AC6">
        <w:rPr>
          <w:rFonts w:ascii="Open Sans" w:hAnsi="Open Sans" w:cs="Open Sans"/>
        </w:rPr>
        <w:t>It’s</w:t>
      </w:r>
      <w:r w:rsidRPr="00493AC6">
        <w:rPr>
          <w:rFonts w:ascii="Open Sans" w:hAnsi="Open Sans" w:cs="Open Sans"/>
        </w:rPr>
        <w:t xml:space="preserve"> good here.”</w:t>
      </w:r>
    </w:p>
    <w:p w14:paraId="6AB08F85" w14:textId="77777777" w:rsidR="001C50A8" w:rsidRPr="00493AC6" w:rsidRDefault="001C50A8" w:rsidP="007E72F1">
      <w:pPr>
        <w:rPr>
          <w:rFonts w:ascii="Open Sans" w:hAnsi="Open Sans" w:cs="Open Sans"/>
        </w:rPr>
      </w:pPr>
      <w:r w:rsidRPr="00493AC6">
        <w:rPr>
          <w:rFonts w:ascii="Open Sans" w:hAnsi="Open Sans" w:cs="Open Sans"/>
        </w:rPr>
        <w:t>Kadijah talked about how nice it was to be around women who had similar experiences and could speak her first language. Kadijah emphasised how more awareness of domestic abuse support services would have helped her in leaving the abusive relationship sooner.</w:t>
      </w:r>
    </w:p>
    <w:p w14:paraId="127EDBE7" w14:textId="68D00AD3" w:rsidR="00A6256C" w:rsidRDefault="00A6256C" w:rsidP="007E72F1">
      <w:pPr>
        <w:jc w:val="both"/>
        <w:rPr>
          <w:rFonts w:ascii="Open Sans" w:hAnsi="Open Sans" w:cs="Open Sans"/>
        </w:rPr>
      </w:pPr>
      <w:r w:rsidRPr="00493AC6">
        <w:rPr>
          <w:rFonts w:ascii="Open Sans" w:hAnsi="Open Sans" w:cs="Open Sans"/>
        </w:rPr>
        <w:t>“If I had known about Women’s Aid or No Woman Turned Away, I would have [left sooner] because many times I get my stuff in my suitcase and try to get out but he would stop me, telling me ‘There’s no place to turn to.’ After that he would be begging me saying sorry […] I thought there was no other way to live if he wasn’t sponsoring me.”</w:t>
      </w:r>
    </w:p>
    <w:p w14:paraId="103C30D3" w14:textId="77777777" w:rsidR="00642299" w:rsidRPr="00493AC6" w:rsidRDefault="00642299" w:rsidP="007E72F1">
      <w:pPr>
        <w:jc w:val="both"/>
        <w:rPr>
          <w:rFonts w:ascii="Open Sans" w:hAnsi="Open Sans" w:cs="Open Sans"/>
        </w:rPr>
      </w:pPr>
    </w:p>
    <w:p w14:paraId="27C6E6B1" w14:textId="77777777" w:rsidR="00D22FF4" w:rsidRPr="00493AC6" w:rsidRDefault="00D22FF4" w:rsidP="003561CD">
      <w:pPr>
        <w:pStyle w:val="Heading3"/>
        <w:rPr>
          <w:iCs/>
        </w:rPr>
      </w:pPr>
      <w:r w:rsidRPr="00493AC6">
        <w:t>Aftermath</w:t>
      </w:r>
    </w:p>
    <w:p w14:paraId="148CC981" w14:textId="77777777" w:rsidR="00D22FF4" w:rsidRPr="00493AC6" w:rsidRDefault="00D22FF4" w:rsidP="007E72F1">
      <w:pPr>
        <w:rPr>
          <w:rFonts w:ascii="Open Sans" w:hAnsi="Open Sans" w:cs="Open Sans"/>
          <w:color w:val="262626" w:themeColor="text1"/>
        </w:rPr>
      </w:pPr>
      <w:r w:rsidRPr="00493AC6">
        <w:rPr>
          <w:rFonts w:ascii="Open Sans" w:hAnsi="Open Sans" w:cs="Open Sans"/>
          <w:color w:val="262626" w:themeColor="text1"/>
        </w:rPr>
        <w:t>Kadijah’s father’s family never approved of the marriage, and upon finding out that it had not worked out they became increasingly threatening of Kadijah and her mother.</w:t>
      </w:r>
      <w:r w:rsidR="00A6256C" w:rsidRPr="00493AC6">
        <w:rPr>
          <w:rFonts w:ascii="Open Sans" w:hAnsi="Open Sans" w:cs="Open Sans"/>
          <w:color w:val="262626" w:themeColor="text1"/>
        </w:rPr>
        <w:t xml:space="preserve"> Despite the insistence of both Oliver and the housing worker in this story, it is clear that it is not safe for Kadijah to return home.</w:t>
      </w:r>
    </w:p>
    <w:p w14:paraId="781B0BFD" w14:textId="3AE17940" w:rsidR="00D22FF4" w:rsidRPr="00493AC6" w:rsidRDefault="00D22FF4" w:rsidP="007E72F1">
      <w:pPr>
        <w:jc w:val="both"/>
        <w:rPr>
          <w:rFonts w:ascii="Open Sans" w:hAnsi="Open Sans" w:cs="Open Sans"/>
          <w:color w:val="262626" w:themeColor="text1"/>
        </w:rPr>
      </w:pPr>
      <w:r w:rsidRPr="00493AC6">
        <w:rPr>
          <w:rFonts w:ascii="Open Sans" w:hAnsi="Open Sans" w:cs="Open Sans"/>
          <w:color w:val="262626" w:themeColor="text1"/>
        </w:rPr>
        <w:lastRenderedPageBreak/>
        <w:t>“My uncle said ‘if you come back to [survivors’ home country] I will kill you at the airport because you bring to the shame on the family.’”</w:t>
      </w:r>
    </w:p>
    <w:p w14:paraId="40A7D69B" w14:textId="77777777" w:rsidR="00E55FCC" w:rsidRPr="00493AC6" w:rsidRDefault="00D22FF4" w:rsidP="007E72F1">
      <w:pPr>
        <w:jc w:val="both"/>
        <w:rPr>
          <w:rFonts w:ascii="Open Sans" w:hAnsi="Open Sans" w:cs="Open Sans"/>
          <w:color w:val="262626" w:themeColor="text1"/>
        </w:rPr>
      </w:pPr>
      <w:r w:rsidRPr="00493AC6">
        <w:rPr>
          <w:rFonts w:ascii="Open Sans" w:hAnsi="Open Sans" w:cs="Open Sans"/>
          <w:color w:val="262626" w:themeColor="text1"/>
        </w:rPr>
        <w:t>Kadijah’s mother has not been able to stay at her rented house since, instead having to seek shelter with one of Kadijah’s sisters.</w:t>
      </w:r>
    </w:p>
    <w:p w14:paraId="01E0CF28" w14:textId="77777777" w:rsidR="00D22FF4" w:rsidRPr="00493AC6" w:rsidRDefault="00D22FF4" w:rsidP="007E72F1">
      <w:pPr>
        <w:jc w:val="both"/>
        <w:rPr>
          <w:rFonts w:ascii="Open Sans" w:hAnsi="Open Sans" w:cs="Open Sans"/>
          <w:color w:val="262626" w:themeColor="text1"/>
        </w:rPr>
      </w:pPr>
      <w:r w:rsidRPr="00493AC6">
        <w:rPr>
          <w:rFonts w:ascii="Open Sans" w:hAnsi="Open Sans" w:cs="Open Sans"/>
          <w:color w:val="262626" w:themeColor="text1"/>
        </w:rPr>
        <w:t xml:space="preserve">“She’s staying with my sister because my sister’s husband is there and my uncle cannot reach them because of my sister’s husband […] if my mum stayed alone, he would definitely reach her. </w:t>
      </w:r>
    </w:p>
    <w:p w14:paraId="2877D2A7" w14:textId="77777777" w:rsidR="00F9553F" w:rsidRPr="00493AC6" w:rsidRDefault="00F9553F" w:rsidP="007E72F1">
      <w:pPr>
        <w:jc w:val="center"/>
        <w:rPr>
          <w:rFonts w:ascii="Open Sans" w:hAnsi="Open Sans" w:cs="Open Sans"/>
          <w:u w:val="single"/>
        </w:rPr>
      </w:pPr>
    </w:p>
    <w:p w14:paraId="17D90F17" w14:textId="77777777" w:rsidR="0098495D" w:rsidRPr="00493AC6" w:rsidRDefault="0098495D" w:rsidP="007E72F1">
      <w:pPr>
        <w:rPr>
          <w:rFonts w:ascii="Open Sans" w:hAnsi="Open Sans" w:cs="Open Sans"/>
          <w:u w:val="single"/>
        </w:rPr>
      </w:pPr>
      <w:r w:rsidRPr="00493AC6">
        <w:rPr>
          <w:rFonts w:ascii="Open Sans Light" w:hAnsi="Open Sans Light" w:cs="Open Sans Light"/>
          <w:sz w:val="56"/>
          <w:szCs w:val="56"/>
          <w:lang w:val="en-US"/>
        </w:rPr>
        <w:br w:type="page"/>
      </w:r>
    </w:p>
    <w:p w14:paraId="7F7DFB41" w14:textId="0BD77CC3" w:rsidR="000D3687" w:rsidRPr="00493AC6" w:rsidRDefault="00986098" w:rsidP="007E72F1">
      <w:pPr>
        <w:pStyle w:val="Heading1"/>
      </w:pPr>
      <w:bookmarkStart w:id="40" w:name="_Toc104535765"/>
      <w:r w:rsidRPr="00493AC6">
        <w:rPr>
          <w:b/>
          <w:bCs/>
        </w:rPr>
        <w:lastRenderedPageBreak/>
        <w:t>Part 3</w:t>
      </w:r>
      <w:r w:rsidR="00E311D5" w:rsidRPr="00493AC6">
        <w:rPr>
          <w:b/>
          <w:bCs/>
        </w:rPr>
        <w:t xml:space="preserve"> -</w:t>
      </w:r>
      <w:r w:rsidR="000D3687" w:rsidRPr="00493AC6">
        <w:t xml:space="preserve"> What support was offered?</w:t>
      </w:r>
      <w:bookmarkEnd w:id="40"/>
    </w:p>
    <w:p w14:paraId="349055D8" w14:textId="282B9705" w:rsidR="00D8213D" w:rsidRPr="00493AC6" w:rsidRDefault="000D3687" w:rsidP="007E72F1">
      <w:pPr>
        <w:pStyle w:val="Heading2"/>
      </w:pPr>
      <w:bookmarkStart w:id="41" w:name="_Toc104535766"/>
      <w:r w:rsidRPr="00493AC6">
        <w:t>How much support did women receive?</w:t>
      </w:r>
      <w:bookmarkEnd w:id="41"/>
    </w:p>
    <w:p w14:paraId="203A1989" w14:textId="0F4B3087" w:rsidR="0011388F" w:rsidRPr="00493AC6" w:rsidRDefault="1531AA37" w:rsidP="007E72F1">
      <w:pPr>
        <w:rPr>
          <w:rFonts w:ascii="Open Sans" w:hAnsi="Open Sans" w:cs="Open Sans"/>
          <w:color w:val="262626" w:themeColor="text1"/>
        </w:rPr>
      </w:pPr>
      <w:r w:rsidRPr="00493AC6">
        <w:rPr>
          <w:rFonts w:ascii="Open Sans" w:hAnsi="Open Sans" w:cs="Open Sans"/>
          <w:color w:val="262626" w:themeColor="text1"/>
        </w:rPr>
        <w:t>Overall, the No Woman Turned Away case</w:t>
      </w:r>
      <w:r w:rsidR="5AE96D5C" w:rsidRPr="00493AC6">
        <w:rPr>
          <w:rFonts w:ascii="Open Sans" w:hAnsi="Open Sans" w:cs="Open Sans"/>
          <w:color w:val="262626" w:themeColor="text1"/>
        </w:rPr>
        <w:t>workers provided just over 1,000</w:t>
      </w:r>
      <w:r w:rsidRPr="00493AC6">
        <w:rPr>
          <w:rFonts w:ascii="Open Sans" w:hAnsi="Open Sans" w:cs="Open Sans"/>
          <w:color w:val="262626" w:themeColor="text1"/>
        </w:rPr>
        <w:t xml:space="preserve"> hours of support to women in the period between 1st January 2021 and 31</w:t>
      </w:r>
      <w:r w:rsidRPr="00493AC6">
        <w:rPr>
          <w:rFonts w:ascii="Open Sans" w:hAnsi="Open Sans" w:cs="Open Sans"/>
          <w:color w:val="262626" w:themeColor="text1"/>
          <w:vertAlign w:val="superscript"/>
        </w:rPr>
        <w:t>st</w:t>
      </w:r>
      <w:r w:rsidRPr="00493AC6">
        <w:rPr>
          <w:rFonts w:ascii="Open Sans" w:hAnsi="Open Sans" w:cs="Open Sans"/>
          <w:color w:val="262626" w:themeColor="text1"/>
        </w:rPr>
        <w:t xml:space="preserve"> December 2021. </w:t>
      </w:r>
      <w:r w:rsidR="1C646276" w:rsidRPr="00493AC6">
        <w:rPr>
          <w:rFonts w:ascii="Open Sans" w:hAnsi="Open Sans" w:cs="Open Sans"/>
          <w:color w:val="262626" w:themeColor="text1"/>
        </w:rPr>
        <w:t>For the 184 women who started and finished receiving support during this period, support was provided on a daily or almost daily basis over an average time span of just under four weeks (27.5 days).</w:t>
      </w:r>
      <w:r w:rsidR="6F437FB2" w:rsidRPr="00493AC6">
        <w:rPr>
          <w:rFonts w:ascii="Open Sans" w:hAnsi="Open Sans" w:cs="Open Sans"/>
          <w:color w:val="262626" w:themeColor="text1"/>
        </w:rPr>
        <w:t xml:space="preserve"> The length of support varied from one day to just under five months.</w:t>
      </w:r>
    </w:p>
    <w:p w14:paraId="6FF25CFB" w14:textId="54E4E651" w:rsidR="00810204" w:rsidRPr="00493AC6" w:rsidRDefault="5AE96D5C" w:rsidP="007E72F1">
      <w:pPr>
        <w:rPr>
          <w:rFonts w:ascii="Open Sans" w:hAnsi="Open Sans" w:cs="Open Sans"/>
          <w:color w:val="262626" w:themeColor="text1"/>
        </w:rPr>
      </w:pPr>
      <w:r w:rsidRPr="00493AC6">
        <w:rPr>
          <w:rFonts w:ascii="Open Sans" w:hAnsi="Open Sans" w:cs="Open Sans"/>
          <w:color w:val="262626" w:themeColor="text1"/>
        </w:rPr>
        <w:t xml:space="preserve">Each of the 184 women received </w:t>
      </w:r>
      <w:r w:rsidR="5D64C4E7" w:rsidRPr="00493AC6">
        <w:rPr>
          <w:rFonts w:ascii="Open Sans" w:hAnsi="Open Sans" w:cs="Open Sans"/>
          <w:color w:val="262626" w:themeColor="text1"/>
        </w:rPr>
        <w:t>on average</w:t>
      </w:r>
      <w:r w:rsidR="0022227C" w:rsidRPr="00493AC6">
        <w:rPr>
          <w:rFonts w:ascii="Open Sans" w:hAnsi="Open Sans" w:cs="Open Sans"/>
          <w:color w:val="262626" w:themeColor="text1"/>
        </w:rPr>
        <w:t xml:space="preserve"> just under</w:t>
      </w:r>
      <w:r w:rsidRPr="00493AC6">
        <w:rPr>
          <w:rFonts w:ascii="Open Sans" w:hAnsi="Open Sans" w:cs="Open Sans"/>
          <w:color w:val="262626" w:themeColor="text1"/>
        </w:rPr>
        <w:t xml:space="preserve"> </w:t>
      </w:r>
      <w:r w:rsidR="5D64C4E7" w:rsidRPr="00493AC6">
        <w:rPr>
          <w:rFonts w:ascii="Open Sans" w:hAnsi="Open Sans" w:cs="Open Sans"/>
          <w:color w:val="262626" w:themeColor="text1"/>
        </w:rPr>
        <w:t>5 hours</w:t>
      </w:r>
      <w:r w:rsidRPr="00493AC6">
        <w:rPr>
          <w:rStyle w:val="FootnoteReference"/>
          <w:rFonts w:ascii="Open Sans" w:hAnsi="Open Sans" w:cs="Open Sans"/>
          <w:color w:val="262626" w:themeColor="text1"/>
        </w:rPr>
        <w:footnoteReference w:id="35"/>
      </w:r>
      <w:r w:rsidR="5D64C4E7" w:rsidRPr="00493AC6">
        <w:rPr>
          <w:rFonts w:ascii="Open Sans" w:hAnsi="Open Sans" w:cs="Open Sans"/>
          <w:color w:val="262626" w:themeColor="text1"/>
        </w:rPr>
        <w:t xml:space="preserve"> of support in total</w:t>
      </w:r>
      <w:r w:rsidR="00D51C0A" w:rsidRPr="00493AC6">
        <w:rPr>
          <w:rFonts w:ascii="Open Sans" w:hAnsi="Open Sans" w:cs="Open Sans"/>
          <w:color w:val="262626" w:themeColor="text1"/>
        </w:rPr>
        <w:t xml:space="preserve"> over the </w:t>
      </w:r>
      <w:r w:rsidR="0022227C" w:rsidRPr="00493AC6">
        <w:rPr>
          <w:rFonts w:ascii="Open Sans" w:hAnsi="Open Sans" w:cs="Open Sans"/>
          <w:color w:val="262626" w:themeColor="text1"/>
        </w:rPr>
        <w:t>course of being supported by the NWTA practitioner. E</w:t>
      </w:r>
      <w:r w:rsidR="46091D0A" w:rsidRPr="00493AC6">
        <w:rPr>
          <w:rFonts w:ascii="Open Sans" w:hAnsi="Open Sans" w:cs="Open Sans"/>
          <w:color w:val="262626" w:themeColor="text1"/>
        </w:rPr>
        <w:t xml:space="preserve">ach </w:t>
      </w:r>
      <w:r w:rsidR="0022227C" w:rsidRPr="00493AC6">
        <w:rPr>
          <w:rFonts w:ascii="Open Sans" w:hAnsi="Open Sans" w:cs="Open Sans"/>
          <w:color w:val="262626" w:themeColor="text1"/>
        </w:rPr>
        <w:t>individual contact</w:t>
      </w:r>
      <w:r w:rsidR="31CAA2C1" w:rsidRPr="00493AC6">
        <w:rPr>
          <w:rFonts w:ascii="Open Sans" w:hAnsi="Open Sans" w:cs="Open Sans"/>
          <w:color w:val="262626" w:themeColor="text1"/>
        </w:rPr>
        <w:t xml:space="preserve"> of support</w:t>
      </w:r>
      <w:r w:rsidR="5AB1465C" w:rsidRPr="00493AC6">
        <w:rPr>
          <w:rFonts w:ascii="Open Sans" w:hAnsi="Open Sans" w:cs="Open Sans"/>
          <w:color w:val="262626" w:themeColor="text1"/>
        </w:rPr>
        <w:t xml:space="preserve"> </w:t>
      </w:r>
      <w:r w:rsidR="0022227C" w:rsidRPr="00493AC6">
        <w:rPr>
          <w:rFonts w:ascii="Open Sans" w:hAnsi="Open Sans" w:cs="Open Sans"/>
          <w:color w:val="262626" w:themeColor="text1"/>
        </w:rPr>
        <w:t>ranged from two minutes to three and a half hours.</w:t>
      </w:r>
      <w:r w:rsidR="5D64C4E7" w:rsidRPr="00493AC6">
        <w:rPr>
          <w:rFonts w:ascii="Open Sans" w:hAnsi="Open Sans" w:cs="Open Sans"/>
          <w:color w:val="262626" w:themeColor="text1"/>
        </w:rPr>
        <w:t xml:space="preserve"> </w:t>
      </w:r>
      <w:r w:rsidR="3937EABB" w:rsidRPr="00493AC6">
        <w:rPr>
          <w:rFonts w:ascii="Open Sans" w:hAnsi="Open Sans" w:cs="Open Sans"/>
          <w:color w:val="262626" w:themeColor="text1"/>
        </w:rPr>
        <w:t>Whilst this is a</w:t>
      </w:r>
      <w:r w:rsidR="4C8BF88E" w:rsidRPr="00493AC6">
        <w:rPr>
          <w:rFonts w:ascii="Open Sans" w:hAnsi="Open Sans" w:cs="Open Sans"/>
          <w:color w:val="262626" w:themeColor="text1"/>
        </w:rPr>
        <w:t xml:space="preserve"> slight</w:t>
      </w:r>
      <w:r w:rsidR="3937EABB" w:rsidRPr="00493AC6">
        <w:rPr>
          <w:rFonts w:ascii="Open Sans" w:hAnsi="Open Sans" w:cs="Open Sans"/>
          <w:color w:val="262626" w:themeColor="text1"/>
        </w:rPr>
        <w:t xml:space="preserve"> </w:t>
      </w:r>
      <w:r w:rsidR="000E44B0" w:rsidRPr="00493AC6">
        <w:rPr>
          <w:rFonts w:ascii="Open Sans" w:hAnsi="Open Sans" w:cs="Open Sans"/>
          <w:color w:val="262626" w:themeColor="text1"/>
        </w:rPr>
        <w:t xml:space="preserve">decrease </w:t>
      </w:r>
      <w:r w:rsidR="00224DD6" w:rsidRPr="00493AC6">
        <w:rPr>
          <w:rFonts w:ascii="Open Sans" w:hAnsi="Open Sans" w:cs="Open Sans"/>
          <w:color w:val="262626" w:themeColor="text1"/>
        </w:rPr>
        <w:t xml:space="preserve">in the average total hours of support provided to each survivor </w:t>
      </w:r>
      <w:r w:rsidR="3937EABB" w:rsidRPr="00493AC6">
        <w:rPr>
          <w:rFonts w:ascii="Open Sans" w:hAnsi="Open Sans" w:cs="Open Sans"/>
          <w:color w:val="262626" w:themeColor="text1"/>
        </w:rPr>
        <w:t xml:space="preserve">compared to last year, it is more in line </w:t>
      </w:r>
      <w:r w:rsidR="0098495D" w:rsidRPr="00493AC6">
        <w:rPr>
          <w:rFonts w:ascii="Open Sans" w:hAnsi="Open Sans" w:cs="Open Sans"/>
          <w:color w:val="262626" w:themeColor="text1"/>
        </w:rPr>
        <w:t xml:space="preserve">with </w:t>
      </w:r>
      <w:r w:rsidR="3937EABB" w:rsidRPr="00493AC6">
        <w:rPr>
          <w:rFonts w:ascii="Open Sans" w:hAnsi="Open Sans" w:cs="Open Sans"/>
          <w:color w:val="262626" w:themeColor="text1"/>
        </w:rPr>
        <w:t>previous years.</w:t>
      </w:r>
      <w:r w:rsidR="008E0609" w:rsidRPr="00493AC6">
        <w:rPr>
          <w:rStyle w:val="FootnoteReference"/>
          <w:rFonts w:ascii="Open Sans" w:hAnsi="Open Sans" w:cs="Open Sans"/>
          <w:color w:val="262626" w:themeColor="text1"/>
          <w:sz w:val="20"/>
        </w:rPr>
        <w:footnoteReference w:id="36"/>
      </w:r>
      <w:r w:rsidR="3937EABB" w:rsidRPr="00493AC6">
        <w:rPr>
          <w:rFonts w:ascii="Open Sans" w:hAnsi="Open Sans" w:cs="Open Sans"/>
          <w:color w:val="262626" w:themeColor="text1"/>
        </w:rPr>
        <w:t xml:space="preserve"> </w:t>
      </w:r>
      <w:r w:rsidR="7866DD34" w:rsidRPr="00493AC6">
        <w:rPr>
          <w:rFonts w:ascii="Open Sans" w:hAnsi="Open Sans" w:cs="Open Sans"/>
          <w:color w:val="262626" w:themeColor="text1"/>
        </w:rPr>
        <w:t xml:space="preserve">It is interesting to consider how, although the support hours are slightly less than last year, the length of time </w:t>
      </w:r>
      <w:r w:rsidR="005E30BE" w:rsidRPr="00493AC6">
        <w:rPr>
          <w:rFonts w:ascii="Open Sans" w:hAnsi="Open Sans" w:cs="Open Sans"/>
          <w:color w:val="262626" w:themeColor="text1"/>
        </w:rPr>
        <w:t xml:space="preserve">over </w:t>
      </w:r>
      <w:r w:rsidR="7866DD34" w:rsidRPr="00493AC6">
        <w:rPr>
          <w:rFonts w:ascii="Open Sans" w:hAnsi="Open Sans" w:cs="Open Sans"/>
          <w:color w:val="262626" w:themeColor="text1"/>
        </w:rPr>
        <w:t xml:space="preserve">which women are on </w:t>
      </w:r>
      <w:r w:rsidR="7866DD34" w:rsidRPr="00493AC6">
        <w:rPr>
          <w:rFonts w:ascii="Open Sans" w:hAnsi="Open Sans" w:cs="Open Sans"/>
          <w:color w:val="262626" w:themeColor="text1"/>
        </w:rPr>
        <w:lastRenderedPageBreak/>
        <w:t>average receiving support over is slightly longer.</w:t>
      </w:r>
      <w:r w:rsidR="005E744F" w:rsidRPr="00493AC6">
        <w:rPr>
          <w:rStyle w:val="FootnoteReference"/>
          <w:rFonts w:ascii="Open Sans" w:hAnsi="Open Sans" w:cs="Open Sans"/>
          <w:color w:val="262626" w:themeColor="text1"/>
          <w:sz w:val="20"/>
        </w:rPr>
        <w:footnoteReference w:id="37"/>
      </w:r>
      <w:r w:rsidR="788A6DCF" w:rsidRPr="00493AC6">
        <w:rPr>
          <w:rFonts w:ascii="Open Sans" w:hAnsi="Open Sans" w:cs="Open Sans"/>
          <w:color w:val="262626" w:themeColor="text1"/>
          <w:sz w:val="20"/>
        </w:rPr>
        <w:t xml:space="preserve"> </w:t>
      </w:r>
      <w:r w:rsidR="788A6DCF" w:rsidRPr="00493AC6">
        <w:rPr>
          <w:rFonts w:ascii="Open Sans" w:hAnsi="Open Sans" w:cs="Open Sans"/>
          <w:color w:val="262626" w:themeColor="text1"/>
        </w:rPr>
        <w:t xml:space="preserve">These two things could reflect the other; for example, if caseworkers are providing support </w:t>
      </w:r>
      <w:r w:rsidR="37FBD2AD" w:rsidRPr="00493AC6">
        <w:rPr>
          <w:rFonts w:ascii="Open Sans" w:hAnsi="Open Sans" w:cs="Open Sans"/>
          <w:color w:val="262626" w:themeColor="text1"/>
        </w:rPr>
        <w:t>to each woman on average for a longer period of time, it may mean that they can only provide a certain number of hours support to each woman in order to balance their caseloads.</w:t>
      </w:r>
      <w:r w:rsidR="0E7A75EC" w:rsidRPr="00493AC6">
        <w:rPr>
          <w:rFonts w:ascii="Open Sans" w:hAnsi="Open Sans" w:cs="Open Sans"/>
          <w:color w:val="262626" w:themeColor="text1"/>
        </w:rPr>
        <w:t xml:space="preserve"> Unfortunately, the outcome for survivors supported by the project depends greatly on refuge availability, and so the tendency to keep c</w:t>
      </w:r>
      <w:r w:rsidR="09FF522F" w:rsidRPr="00493AC6">
        <w:rPr>
          <w:rFonts w:ascii="Open Sans" w:hAnsi="Open Sans" w:cs="Open Sans"/>
          <w:color w:val="262626" w:themeColor="text1"/>
        </w:rPr>
        <w:t>ases open longer may be down to trying to reach the most positive outcome.</w:t>
      </w:r>
      <w:r w:rsidR="005D6665" w:rsidRPr="00493AC6">
        <w:rPr>
          <w:rFonts w:ascii="Open Sans" w:hAnsi="Open Sans" w:cs="Open Sans"/>
          <w:color w:val="262626" w:themeColor="text1"/>
        </w:rPr>
        <w:t xml:space="preserve"> This </w:t>
      </w:r>
      <w:r w:rsidR="005A7027" w:rsidRPr="00493AC6">
        <w:rPr>
          <w:rFonts w:ascii="Open Sans" w:hAnsi="Open Sans" w:cs="Open Sans"/>
          <w:color w:val="262626" w:themeColor="text1"/>
        </w:rPr>
        <w:t xml:space="preserve">appears to be the case from my interview with NWTA support worker, </w:t>
      </w:r>
      <w:r w:rsidR="005D6665" w:rsidRPr="00493AC6">
        <w:rPr>
          <w:rFonts w:ascii="Open Sans" w:hAnsi="Open Sans" w:cs="Open Sans"/>
          <w:color w:val="262626" w:themeColor="text1"/>
        </w:rPr>
        <w:t>Priya</w:t>
      </w:r>
      <w:r w:rsidR="005A7027" w:rsidRPr="00493AC6">
        <w:rPr>
          <w:rFonts w:ascii="Open Sans" w:hAnsi="Open Sans" w:cs="Open Sans"/>
          <w:color w:val="262626" w:themeColor="text1"/>
        </w:rPr>
        <w:t>,</w:t>
      </w:r>
      <w:r w:rsidR="005D6665" w:rsidRPr="00493AC6">
        <w:rPr>
          <w:rFonts w:ascii="Open Sans" w:hAnsi="Open Sans" w:cs="Open Sans"/>
          <w:color w:val="262626" w:themeColor="text1"/>
        </w:rPr>
        <w:t xml:space="preserve"> </w:t>
      </w:r>
      <w:r w:rsidR="005A7027" w:rsidRPr="00493AC6">
        <w:rPr>
          <w:rFonts w:ascii="Open Sans" w:hAnsi="Open Sans" w:cs="Open Sans"/>
          <w:color w:val="262626" w:themeColor="text1"/>
        </w:rPr>
        <w:t xml:space="preserve">detailed </w:t>
      </w:r>
      <w:r w:rsidR="005D6665" w:rsidRPr="00493AC6">
        <w:rPr>
          <w:rFonts w:ascii="Open Sans" w:hAnsi="Open Sans" w:cs="Open Sans"/>
          <w:color w:val="262626" w:themeColor="text1"/>
        </w:rPr>
        <w:t>on page</w:t>
      </w:r>
      <w:r w:rsidR="003561CD">
        <w:rPr>
          <w:rFonts w:ascii="Open Sans" w:hAnsi="Open Sans" w:cs="Open Sans"/>
          <w:color w:val="262626" w:themeColor="text1"/>
        </w:rPr>
        <w:t xml:space="preserve"> </w:t>
      </w:r>
      <w:r w:rsidR="008339E6">
        <w:rPr>
          <w:rFonts w:ascii="Open Sans" w:hAnsi="Open Sans" w:cs="Open Sans"/>
          <w:color w:val="262626" w:themeColor="text1"/>
        </w:rPr>
        <w:t>68</w:t>
      </w:r>
      <w:r w:rsidR="003561CD">
        <w:rPr>
          <w:rFonts w:ascii="Open Sans" w:hAnsi="Open Sans" w:cs="Open Sans"/>
          <w:color w:val="262626" w:themeColor="text1"/>
        </w:rPr>
        <w:t>.</w:t>
      </w:r>
    </w:p>
    <w:p w14:paraId="651B68A5" w14:textId="77777777" w:rsidR="00C45BC1" w:rsidRPr="00493AC6" w:rsidRDefault="00C45BC1" w:rsidP="007E72F1">
      <w:pPr>
        <w:rPr>
          <w:rFonts w:ascii="Open Sans" w:hAnsi="Open Sans" w:cs="Open Sans"/>
          <w:color w:val="262626" w:themeColor="text1"/>
        </w:rPr>
      </w:pPr>
    </w:p>
    <w:p w14:paraId="678A8058" w14:textId="7EF46DAE" w:rsidR="000E3498" w:rsidRPr="00493AC6" w:rsidRDefault="00F4774F" w:rsidP="007E72F1">
      <w:pPr>
        <w:pStyle w:val="Heading2"/>
      </w:pPr>
      <w:bookmarkStart w:id="42" w:name="_Toc34262495"/>
      <w:bookmarkStart w:id="43" w:name="_Toc65875204"/>
      <w:bookmarkStart w:id="44" w:name="_Toc104535767"/>
      <w:r w:rsidRPr="00493AC6">
        <w:t>What type of support did women receive?</w:t>
      </w:r>
      <w:bookmarkEnd w:id="42"/>
      <w:bookmarkEnd w:id="43"/>
      <w:bookmarkEnd w:id="44"/>
    </w:p>
    <w:p w14:paraId="476A9A38" w14:textId="41CE44A0" w:rsidR="00EE70E9" w:rsidRPr="00493AC6" w:rsidRDefault="000E3498" w:rsidP="007E72F1">
      <w:pPr>
        <w:rPr>
          <w:rFonts w:ascii="Open Sans" w:hAnsi="Open Sans" w:cs="Open Sans"/>
          <w:color w:val="262626" w:themeColor="text1"/>
        </w:rPr>
      </w:pPr>
      <w:r w:rsidRPr="00493AC6">
        <w:rPr>
          <w:rFonts w:ascii="Open Sans" w:hAnsi="Open Sans" w:cs="Open Sans"/>
          <w:color w:val="262626" w:themeColor="text1"/>
        </w:rPr>
        <w:t xml:space="preserve">Table 5 details </w:t>
      </w:r>
      <w:r w:rsidR="00D106FB" w:rsidRPr="00493AC6">
        <w:rPr>
          <w:rFonts w:ascii="Open Sans" w:hAnsi="Open Sans" w:cs="Open Sans"/>
          <w:color w:val="262626" w:themeColor="text1"/>
        </w:rPr>
        <w:t>the type of support that women received from the NWTA practitioners. For the first time the largest part (29.0%) of practitioners’ time was spent communicating with the survivors over email or text message.</w:t>
      </w:r>
      <w:r w:rsidR="00CB1AE5" w:rsidRPr="00493AC6">
        <w:rPr>
          <w:rFonts w:ascii="Open Sans" w:hAnsi="Open Sans" w:cs="Open Sans"/>
          <w:color w:val="262626" w:themeColor="text1"/>
        </w:rPr>
        <w:t xml:space="preserve"> </w:t>
      </w:r>
      <w:r w:rsidR="000C3505" w:rsidRPr="00493AC6">
        <w:rPr>
          <w:rFonts w:ascii="Open Sans" w:hAnsi="Open Sans" w:cs="Open Sans"/>
          <w:color w:val="262626" w:themeColor="text1"/>
        </w:rPr>
        <w:t>With the exception of last year,</w:t>
      </w:r>
      <w:r w:rsidR="000C3505" w:rsidRPr="00493AC6">
        <w:rPr>
          <w:rStyle w:val="FootnoteReference"/>
          <w:rFonts w:ascii="Open Sans" w:hAnsi="Open Sans" w:cs="Open Sans"/>
          <w:color w:val="262626" w:themeColor="text1"/>
        </w:rPr>
        <w:footnoteReference w:id="38"/>
      </w:r>
      <w:r w:rsidR="000C3505" w:rsidRPr="00493AC6">
        <w:rPr>
          <w:rFonts w:ascii="Open Sans" w:hAnsi="Open Sans" w:cs="Open Sans"/>
          <w:color w:val="262626" w:themeColor="text1"/>
        </w:rPr>
        <w:t xml:space="preserve"> the largest part of the practitioners’ time has </w:t>
      </w:r>
      <w:r w:rsidR="002860F4" w:rsidRPr="00493AC6">
        <w:rPr>
          <w:rFonts w:ascii="Open Sans" w:hAnsi="Open Sans" w:cs="Open Sans"/>
          <w:color w:val="262626" w:themeColor="text1"/>
        </w:rPr>
        <w:t>previously been spent</w:t>
      </w:r>
      <w:r w:rsidR="000C3505" w:rsidRPr="00493AC6">
        <w:rPr>
          <w:rFonts w:ascii="Open Sans" w:hAnsi="Open Sans" w:cs="Open Sans"/>
          <w:color w:val="262626" w:themeColor="text1"/>
        </w:rPr>
        <w:t xml:space="preserve"> communicating with survivors over the phone.</w:t>
      </w:r>
      <w:r w:rsidR="001E6143" w:rsidRPr="00493AC6">
        <w:rPr>
          <w:rFonts w:ascii="Open Sans" w:hAnsi="Open Sans" w:cs="Open Sans"/>
          <w:color w:val="262626" w:themeColor="text1"/>
        </w:rPr>
        <w:t xml:space="preserve"> However, we have observed a trend of more and more communication between the </w:t>
      </w:r>
      <w:r w:rsidR="001E6143" w:rsidRPr="00493AC6">
        <w:rPr>
          <w:rFonts w:ascii="Open Sans" w:hAnsi="Open Sans" w:cs="Open Sans"/>
          <w:color w:val="262626" w:themeColor="text1"/>
        </w:rPr>
        <w:lastRenderedPageBreak/>
        <w:t>practitioners and the survivors taking place</w:t>
      </w:r>
      <w:r w:rsidR="00B91C09" w:rsidRPr="00493AC6">
        <w:rPr>
          <w:rFonts w:ascii="Open Sans" w:hAnsi="Open Sans" w:cs="Open Sans"/>
          <w:color w:val="262626" w:themeColor="text1"/>
        </w:rPr>
        <w:t xml:space="preserve"> via</w:t>
      </w:r>
      <w:r w:rsidR="001E6143" w:rsidRPr="00493AC6">
        <w:rPr>
          <w:rFonts w:ascii="Open Sans" w:hAnsi="Open Sans" w:cs="Open Sans"/>
          <w:color w:val="262626" w:themeColor="text1"/>
        </w:rPr>
        <w:t xml:space="preserve"> </w:t>
      </w:r>
      <w:r w:rsidR="002860F4" w:rsidRPr="00493AC6">
        <w:rPr>
          <w:rFonts w:ascii="Open Sans" w:hAnsi="Open Sans" w:cs="Open Sans"/>
          <w:color w:val="262626" w:themeColor="text1"/>
        </w:rPr>
        <w:t xml:space="preserve">email or text over the years. </w:t>
      </w:r>
      <w:r w:rsidR="00AB1A06" w:rsidRPr="00493AC6">
        <w:rPr>
          <w:rFonts w:ascii="Open Sans" w:hAnsi="Open Sans" w:cs="Open Sans"/>
          <w:color w:val="262626" w:themeColor="text1"/>
        </w:rPr>
        <w:t xml:space="preserve">It is too early to determine whether this finding reflects a more permanent change in the NWTA practitioner’s ways of working, or whether it is a result of the Covid-19 restrictions, that left a higher proportion of women only being able to communicate via </w:t>
      </w:r>
      <w:r w:rsidR="00EE70E9" w:rsidRPr="00493AC6">
        <w:rPr>
          <w:rFonts w:ascii="Open Sans" w:hAnsi="Open Sans" w:cs="Open Sans"/>
          <w:color w:val="262626" w:themeColor="text1"/>
        </w:rPr>
        <w:t>email or text.</w:t>
      </w:r>
    </w:p>
    <w:p w14:paraId="42E62975" w14:textId="10FA99E1" w:rsidR="00546F5E" w:rsidRDefault="00F259BA" w:rsidP="007E72F1">
      <w:pPr>
        <w:rPr>
          <w:rFonts w:ascii="Open Sans" w:hAnsi="Open Sans" w:cs="Open Sans"/>
          <w:color w:val="262626" w:themeColor="text1"/>
        </w:rPr>
      </w:pPr>
      <w:r w:rsidRPr="00493AC6">
        <w:rPr>
          <w:rFonts w:ascii="Open Sans" w:hAnsi="Open Sans" w:cs="Open Sans"/>
          <w:color w:val="262626" w:themeColor="text1"/>
        </w:rPr>
        <w:t xml:space="preserve">Although not as high as the previous year, liaison with other professionals continues to dominate a substantial proportion of the </w:t>
      </w:r>
      <w:r w:rsidR="00DD7165" w:rsidRPr="00493AC6">
        <w:rPr>
          <w:rFonts w:ascii="Open Sans" w:hAnsi="Open Sans" w:cs="Open Sans"/>
          <w:color w:val="262626" w:themeColor="text1"/>
        </w:rPr>
        <w:t xml:space="preserve">NWTA </w:t>
      </w:r>
      <w:r w:rsidRPr="00493AC6">
        <w:rPr>
          <w:rFonts w:ascii="Open Sans" w:hAnsi="Open Sans" w:cs="Open Sans"/>
          <w:color w:val="262626" w:themeColor="text1"/>
        </w:rPr>
        <w:t>practitioners</w:t>
      </w:r>
      <w:r w:rsidR="00DD7165" w:rsidRPr="00493AC6">
        <w:rPr>
          <w:rFonts w:ascii="Open Sans" w:hAnsi="Open Sans" w:cs="Open Sans"/>
          <w:color w:val="262626" w:themeColor="text1"/>
        </w:rPr>
        <w:t>’</w:t>
      </w:r>
      <w:r w:rsidRPr="00493AC6">
        <w:rPr>
          <w:rFonts w:ascii="Open Sans" w:hAnsi="Open Sans" w:cs="Open Sans"/>
          <w:color w:val="262626" w:themeColor="text1"/>
        </w:rPr>
        <w:t xml:space="preserve"> time (24.2%). </w:t>
      </w:r>
      <w:r w:rsidR="00171035" w:rsidRPr="00493AC6">
        <w:rPr>
          <w:rFonts w:ascii="Open Sans" w:hAnsi="Open Sans" w:cs="Open Sans"/>
          <w:color w:val="262626" w:themeColor="text1"/>
        </w:rPr>
        <w:t>As detailed in my interview with Priya</w:t>
      </w:r>
      <w:r w:rsidR="004A2052" w:rsidRPr="00493AC6">
        <w:rPr>
          <w:rFonts w:ascii="Open Sans" w:hAnsi="Open Sans" w:cs="Open Sans"/>
          <w:color w:val="262626" w:themeColor="text1"/>
        </w:rPr>
        <w:t>,</w:t>
      </w:r>
      <w:r w:rsidR="004A2052" w:rsidRPr="00493AC6">
        <w:rPr>
          <w:rStyle w:val="FootnoteReference"/>
          <w:rFonts w:ascii="Open Sans" w:hAnsi="Open Sans" w:cs="Open Sans"/>
          <w:color w:val="262626" w:themeColor="text1"/>
        </w:rPr>
        <w:footnoteReference w:id="39"/>
      </w:r>
      <w:r w:rsidR="004A2052" w:rsidRPr="00493AC6">
        <w:rPr>
          <w:rFonts w:ascii="Open Sans" w:hAnsi="Open Sans" w:cs="Open Sans"/>
          <w:color w:val="262626" w:themeColor="text1"/>
        </w:rPr>
        <w:t xml:space="preserve"> this may in part be down </w:t>
      </w:r>
      <w:r w:rsidR="00E40BB6" w:rsidRPr="00493AC6">
        <w:rPr>
          <w:rFonts w:ascii="Open Sans" w:hAnsi="Open Sans" w:cs="Open Sans"/>
          <w:color w:val="262626" w:themeColor="text1"/>
        </w:rPr>
        <w:t xml:space="preserve">to the time that the practitioners are having to spend seeking immigration and/ or benefits advice </w:t>
      </w:r>
      <w:r w:rsidR="00837A9A" w:rsidRPr="00493AC6">
        <w:rPr>
          <w:rFonts w:ascii="Open Sans" w:hAnsi="Open Sans" w:cs="Open Sans"/>
          <w:color w:val="262626" w:themeColor="text1"/>
        </w:rPr>
        <w:t>for survivors they are supporting, in order to best help them in finding suitable refuge accommodation.</w:t>
      </w:r>
    </w:p>
    <w:p w14:paraId="665F5C21" w14:textId="76B5008B" w:rsidR="00642299" w:rsidRPr="00493AC6" w:rsidRDefault="00642299" w:rsidP="007E72F1">
      <w:pPr>
        <w:rPr>
          <w:rFonts w:ascii="Open Sans" w:hAnsi="Open Sans" w:cs="Open Sans"/>
          <w:color w:val="262626" w:themeColor="text1"/>
        </w:rPr>
      </w:pPr>
    </w:p>
    <w:p w14:paraId="3887162B" w14:textId="35B2FB40" w:rsidR="00C45BC1" w:rsidRDefault="005D459D" w:rsidP="005D459D">
      <w:pPr>
        <w:pStyle w:val="Heading3"/>
      </w:pPr>
      <w:bookmarkStart w:id="45" w:name="_Toc65875205"/>
      <w:r>
        <w:t>Table 5: What type of support do women receive?</w:t>
      </w:r>
    </w:p>
    <w:p w14:paraId="7C26FD0F" w14:textId="77777777" w:rsidR="005D459D" w:rsidRDefault="005D459D" w:rsidP="005D459D">
      <w:r w:rsidRPr="00493AC6">
        <w:t xml:space="preserve">Please note that this is a text version of a table depicting the same </w:t>
      </w:r>
      <w:r>
        <w:t>data</w:t>
      </w:r>
      <w:r w:rsidRPr="00493AC6">
        <w:t xml:space="preserve">. </w:t>
      </w:r>
      <w:r>
        <w:t>You can view this data in table format in the PDF version of this report, available on the Women’s Aid Evidence Hub.</w:t>
      </w:r>
    </w:p>
    <w:p w14:paraId="7EC732EA" w14:textId="6C3C36B1" w:rsidR="005D459D" w:rsidRDefault="005D459D" w:rsidP="005D459D">
      <w:r>
        <w:t>Below is a list of the different types of support women receive from the NWTA project, as well as the percentage of specialist practitioners’ time taken up by the type of support.</w:t>
      </w:r>
      <w:r w:rsidR="0035030E">
        <w:rPr>
          <w:rStyle w:val="FootnoteReference"/>
        </w:rPr>
        <w:footnoteReference w:id="40"/>
      </w:r>
    </w:p>
    <w:p w14:paraId="033C8BD3" w14:textId="1D6F2C4B" w:rsidR="005D459D" w:rsidRDefault="005D459D" w:rsidP="005D459D">
      <w:pPr>
        <w:pStyle w:val="ListParagraph"/>
        <w:numPr>
          <w:ilvl w:val="0"/>
          <w:numId w:val="19"/>
        </w:numPr>
      </w:pPr>
      <w:r>
        <w:lastRenderedPageBreak/>
        <w:t>Email or text contact with survivor: 29%</w:t>
      </w:r>
    </w:p>
    <w:p w14:paraId="4D02F8EF" w14:textId="40EBE0B1" w:rsidR="005D459D" w:rsidRDefault="005D459D" w:rsidP="005D459D">
      <w:pPr>
        <w:pStyle w:val="ListParagraph"/>
        <w:numPr>
          <w:ilvl w:val="0"/>
          <w:numId w:val="19"/>
        </w:numPr>
      </w:pPr>
      <w:r>
        <w:t>Liaison with other professionals: 24.2%</w:t>
      </w:r>
    </w:p>
    <w:p w14:paraId="3417C862" w14:textId="661366BF" w:rsidR="005D459D" w:rsidRDefault="005D459D" w:rsidP="005D459D">
      <w:pPr>
        <w:pStyle w:val="ListParagraph"/>
        <w:numPr>
          <w:ilvl w:val="0"/>
          <w:numId w:val="19"/>
        </w:numPr>
      </w:pPr>
      <w:r>
        <w:t>Phone contact with survivor: 18.9%</w:t>
      </w:r>
    </w:p>
    <w:p w14:paraId="1159A8A6" w14:textId="1B616787" w:rsidR="005D459D" w:rsidRDefault="005D459D" w:rsidP="005D459D">
      <w:pPr>
        <w:pStyle w:val="ListParagraph"/>
        <w:numPr>
          <w:ilvl w:val="0"/>
          <w:numId w:val="19"/>
        </w:numPr>
      </w:pPr>
      <w:r>
        <w:t>Attempting contact/chasing up: 10.8%</w:t>
      </w:r>
    </w:p>
    <w:p w14:paraId="02CD7120" w14:textId="2AB18D60" w:rsidR="005D459D" w:rsidRDefault="005D459D" w:rsidP="005D459D">
      <w:pPr>
        <w:pStyle w:val="ListParagraph"/>
        <w:numPr>
          <w:ilvl w:val="0"/>
          <w:numId w:val="19"/>
        </w:numPr>
      </w:pPr>
      <w:r>
        <w:t>Paperwork: 8.5%</w:t>
      </w:r>
    </w:p>
    <w:p w14:paraId="7889660D" w14:textId="3F1A7600" w:rsidR="005D459D" w:rsidRDefault="005D459D" w:rsidP="005D459D">
      <w:pPr>
        <w:pStyle w:val="ListParagraph"/>
        <w:numPr>
          <w:ilvl w:val="0"/>
          <w:numId w:val="19"/>
        </w:numPr>
      </w:pPr>
      <w:r>
        <w:t>Advocacy on survivor’s behalf: 4.9%</w:t>
      </w:r>
    </w:p>
    <w:p w14:paraId="752DA5A1" w14:textId="4A318B77" w:rsidR="005D459D" w:rsidRDefault="005D459D" w:rsidP="005D459D">
      <w:pPr>
        <w:pStyle w:val="ListParagraph"/>
        <w:numPr>
          <w:ilvl w:val="0"/>
          <w:numId w:val="19"/>
        </w:numPr>
      </w:pPr>
      <w:r>
        <w:t>Other: 3.7%</w:t>
      </w:r>
    </w:p>
    <w:p w14:paraId="2E5D9F6B" w14:textId="2258DA3A" w:rsidR="005D459D" w:rsidRPr="005D459D" w:rsidRDefault="005D459D" w:rsidP="005D459D">
      <w:r>
        <w:t>End of table data.</w:t>
      </w:r>
    </w:p>
    <w:p w14:paraId="59A88211" w14:textId="77777777" w:rsidR="005D459D" w:rsidRPr="005D459D" w:rsidRDefault="005D459D" w:rsidP="005D459D"/>
    <w:p w14:paraId="53D65974" w14:textId="7743B5F3" w:rsidR="00E66BB3" w:rsidRPr="00493AC6" w:rsidRDefault="00C6782E" w:rsidP="007E72F1">
      <w:pPr>
        <w:pStyle w:val="Heading2"/>
      </w:pPr>
      <w:bookmarkStart w:id="46" w:name="_Toc104535768"/>
      <w:r w:rsidRPr="00493AC6">
        <w:t>What did women receive support with?</w:t>
      </w:r>
      <w:bookmarkEnd w:id="45"/>
      <w:bookmarkEnd w:id="46"/>
      <w:r w:rsidRPr="00493AC6">
        <w:t xml:space="preserve"> </w:t>
      </w:r>
    </w:p>
    <w:p w14:paraId="6132A55C" w14:textId="16B7A203" w:rsidR="005658B9" w:rsidRDefault="00827B49" w:rsidP="007E72F1">
      <w:pPr>
        <w:rPr>
          <w:rFonts w:ascii="Open Sans" w:hAnsi="Open Sans" w:cs="Open Sans"/>
        </w:rPr>
      </w:pPr>
      <w:r w:rsidRPr="00493AC6">
        <w:rPr>
          <w:rFonts w:ascii="Open Sans" w:hAnsi="Open Sans" w:cs="Open Sans"/>
        </w:rPr>
        <w:t>T</w:t>
      </w:r>
      <w:r w:rsidR="00D97AE7" w:rsidRPr="00493AC6">
        <w:rPr>
          <w:rFonts w:ascii="Open Sans" w:hAnsi="Open Sans" w:cs="Open Sans"/>
        </w:rPr>
        <w:t>able 6</w:t>
      </w:r>
      <w:r w:rsidR="006A75D4" w:rsidRPr="00493AC6">
        <w:rPr>
          <w:rFonts w:ascii="Open Sans" w:hAnsi="Open Sans" w:cs="Open Sans"/>
        </w:rPr>
        <w:t xml:space="preserve"> details the areas of support that the caseworkers provided to the 184 survivors supported by the NWTA project between 1</w:t>
      </w:r>
      <w:r w:rsidR="006A75D4" w:rsidRPr="00493AC6">
        <w:rPr>
          <w:rFonts w:ascii="Open Sans" w:hAnsi="Open Sans" w:cs="Open Sans"/>
          <w:vertAlign w:val="superscript"/>
        </w:rPr>
        <w:t>st</w:t>
      </w:r>
      <w:r w:rsidR="006A75D4" w:rsidRPr="00493AC6">
        <w:rPr>
          <w:rFonts w:ascii="Open Sans" w:hAnsi="Open Sans" w:cs="Open Sans"/>
        </w:rPr>
        <w:t xml:space="preserve"> January 2021 and 31</w:t>
      </w:r>
      <w:r w:rsidR="006A75D4" w:rsidRPr="00493AC6">
        <w:rPr>
          <w:rFonts w:ascii="Open Sans" w:hAnsi="Open Sans" w:cs="Open Sans"/>
          <w:vertAlign w:val="superscript"/>
        </w:rPr>
        <w:t>st</w:t>
      </w:r>
      <w:r w:rsidR="006A75D4" w:rsidRPr="00493AC6">
        <w:rPr>
          <w:rFonts w:ascii="Open Sans" w:hAnsi="Open Sans" w:cs="Open Sans"/>
        </w:rPr>
        <w:t xml:space="preserve"> December 2021. </w:t>
      </w:r>
      <w:r w:rsidR="00546F5E" w:rsidRPr="00493AC6">
        <w:rPr>
          <w:rFonts w:ascii="Open Sans" w:hAnsi="Open Sans" w:cs="Open Sans"/>
        </w:rPr>
        <w:t xml:space="preserve">For the first time, support </w:t>
      </w:r>
      <w:r w:rsidR="00C24329" w:rsidRPr="00493AC6">
        <w:rPr>
          <w:rFonts w:ascii="Open Sans" w:hAnsi="Open Sans" w:cs="Open Sans"/>
        </w:rPr>
        <w:t xml:space="preserve">around immigration e.g. helping a survivor to seek immigration advice, is </w:t>
      </w:r>
      <w:r w:rsidR="00F67F7E" w:rsidRPr="00493AC6">
        <w:rPr>
          <w:rFonts w:ascii="Open Sans" w:hAnsi="Open Sans" w:cs="Open Sans"/>
        </w:rPr>
        <w:t>the</w:t>
      </w:r>
      <w:r w:rsidR="00625DD3" w:rsidRPr="00493AC6">
        <w:rPr>
          <w:rFonts w:ascii="Open Sans" w:hAnsi="Open Sans" w:cs="Open Sans"/>
        </w:rPr>
        <w:t xml:space="preserve"> </w:t>
      </w:r>
      <w:r w:rsidR="00B17ED1" w:rsidRPr="00493AC6">
        <w:rPr>
          <w:rFonts w:ascii="Open Sans" w:hAnsi="Open Sans" w:cs="Open Sans"/>
        </w:rPr>
        <w:t xml:space="preserve">biggest </w:t>
      </w:r>
      <w:r w:rsidR="00F67F7E" w:rsidRPr="00493AC6">
        <w:rPr>
          <w:rFonts w:ascii="Open Sans" w:hAnsi="Open Sans" w:cs="Open Sans"/>
        </w:rPr>
        <w:t>form of support</w:t>
      </w:r>
      <w:r w:rsidR="00B17ED1" w:rsidRPr="00493AC6">
        <w:rPr>
          <w:rFonts w:ascii="Open Sans" w:hAnsi="Open Sans" w:cs="Open Sans"/>
        </w:rPr>
        <w:t xml:space="preserve"> that the practitioners </w:t>
      </w:r>
      <w:r w:rsidR="00F67F7E" w:rsidRPr="00493AC6">
        <w:rPr>
          <w:rFonts w:ascii="Open Sans" w:hAnsi="Open Sans" w:cs="Open Sans"/>
        </w:rPr>
        <w:t>are providing to survivors beyond housing and referral/ signposting</w:t>
      </w:r>
      <w:r w:rsidR="00250FA8" w:rsidRPr="00493AC6">
        <w:rPr>
          <w:rFonts w:ascii="Open Sans" w:hAnsi="Open Sans" w:cs="Open Sans"/>
        </w:rPr>
        <w:t>, with</w:t>
      </w:r>
      <w:r w:rsidR="00141045" w:rsidRPr="00493AC6">
        <w:rPr>
          <w:rFonts w:ascii="Open Sans" w:hAnsi="Open Sans" w:cs="Open Sans"/>
        </w:rPr>
        <w:t xml:space="preserve"> the NWTA practitioners spending time supporting just under a tenth (9.2%) of survivors with </w:t>
      </w:r>
      <w:r w:rsidR="00471220" w:rsidRPr="00493AC6">
        <w:rPr>
          <w:rFonts w:ascii="Open Sans" w:hAnsi="Open Sans" w:cs="Open Sans"/>
        </w:rPr>
        <w:t xml:space="preserve">their </w:t>
      </w:r>
      <w:r w:rsidR="00141045" w:rsidRPr="00493AC6">
        <w:rPr>
          <w:rFonts w:ascii="Open Sans" w:hAnsi="Open Sans" w:cs="Open Sans"/>
        </w:rPr>
        <w:t>immigration.</w:t>
      </w:r>
      <w:r w:rsidR="00F259BA" w:rsidRPr="00493AC6">
        <w:rPr>
          <w:rFonts w:ascii="Open Sans" w:hAnsi="Open Sans" w:cs="Open Sans"/>
        </w:rPr>
        <w:t xml:space="preserve"> </w:t>
      </w:r>
      <w:r w:rsidR="0050473D" w:rsidRPr="00493AC6">
        <w:rPr>
          <w:rFonts w:ascii="Open Sans" w:hAnsi="Open Sans" w:cs="Open Sans"/>
        </w:rPr>
        <w:t xml:space="preserve">In </w:t>
      </w:r>
      <w:r w:rsidR="00C20AEA" w:rsidRPr="00493AC6">
        <w:rPr>
          <w:rFonts w:ascii="Open Sans" w:hAnsi="Open Sans" w:cs="Open Sans"/>
        </w:rPr>
        <w:t xml:space="preserve">the </w:t>
      </w:r>
      <w:r w:rsidR="00250FA8" w:rsidRPr="00493AC6">
        <w:rPr>
          <w:rFonts w:ascii="Open Sans" w:hAnsi="Open Sans" w:cs="Open Sans"/>
        </w:rPr>
        <w:t>interview with</w:t>
      </w:r>
      <w:r w:rsidR="00E66BB3" w:rsidRPr="00493AC6">
        <w:rPr>
          <w:rFonts w:ascii="Open Sans" w:hAnsi="Open Sans" w:cs="Open Sans"/>
        </w:rPr>
        <w:t xml:space="preserve"> Priya</w:t>
      </w:r>
      <w:r w:rsidR="00E66BB3" w:rsidRPr="00493AC6">
        <w:rPr>
          <w:rStyle w:val="FootnoteReference"/>
          <w:rFonts w:ascii="Open Sans" w:hAnsi="Open Sans" w:cs="Open Sans"/>
          <w:sz w:val="20"/>
        </w:rPr>
        <w:footnoteReference w:id="41"/>
      </w:r>
      <w:r w:rsidR="00E66BB3" w:rsidRPr="00493AC6">
        <w:rPr>
          <w:rFonts w:ascii="Open Sans" w:hAnsi="Open Sans" w:cs="Open Sans"/>
        </w:rPr>
        <w:t xml:space="preserve"> (detailed on the following page) it seems that the NWTA practitioners are increasingly </w:t>
      </w:r>
      <w:r w:rsidR="00903FA7" w:rsidRPr="00493AC6">
        <w:rPr>
          <w:rFonts w:ascii="Open Sans" w:hAnsi="Open Sans" w:cs="Open Sans"/>
        </w:rPr>
        <w:t>having to</w:t>
      </w:r>
      <w:r w:rsidR="00E66BB3" w:rsidRPr="00493AC6">
        <w:rPr>
          <w:rFonts w:ascii="Open Sans" w:hAnsi="Open Sans" w:cs="Open Sans"/>
        </w:rPr>
        <w:t xml:space="preserve"> make up for limited resources and capacity in the wider domestic abuse </w:t>
      </w:r>
      <w:r w:rsidR="00442EB8" w:rsidRPr="00493AC6">
        <w:rPr>
          <w:rFonts w:ascii="Open Sans" w:hAnsi="Open Sans" w:cs="Open Sans"/>
        </w:rPr>
        <w:t>sector</w:t>
      </w:r>
      <w:r w:rsidR="00C20AEA" w:rsidRPr="00493AC6">
        <w:rPr>
          <w:rFonts w:ascii="Open Sans" w:hAnsi="Open Sans" w:cs="Open Sans"/>
        </w:rPr>
        <w:t xml:space="preserve"> </w:t>
      </w:r>
      <w:r w:rsidR="00903FA7" w:rsidRPr="00493AC6">
        <w:rPr>
          <w:rFonts w:ascii="Open Sans" w:hAnsi="Open Sans" w:cs="Open Sans"/>
        </w:rPr>
        <w:t>by supporting women with their immigration</w:t>
      </w:r>
      <w:r w:rsidR="00C20AEA" w:rsidRPr="00493AC6">
        <w:rPr>
          <w:rFonts w:ascii="Open Sans" w:hAnsi="Open Sans" w:cs="Open Sans"/>
        </w:rPr>
        <w:t>-related needs</w:t>
      </w:r>
      <w:r w:rsidR="00903FA7" w:rsidRPr="00493AC6">
        <w:rPr>
          <w:rFonts w:ascii="Open Sans" w:hAnsi="Open Sans" w:cs="Open Sans"/>
        </w:rPr>
        <w:t xml:space="preserve">. This results </w:t>
      </w:r>
      <w:r w:rsidR="00903FA7" w:rsidRPr="00493AC6">
        <w:rPr>
          <w:rFonts w:ascii="Open Sans" w:hAnsi="Open Sans" w:cs="Open Sans"/>
        </w:rPr>
        <w:lastRenderedPageBreak/>
        <w:t>in the NWTA practitioners spending much longer supporting these women than previously.</w:t>
      </w:r>
      <w:r w:rsidR="002D55AB" w:rsidRPr="00493AC6">
        <w:rPr>
          <w:rFonts w:ascii="Open Sans" w:hAnsi="Open Sans" w:cs="Open Sans"/>
        </w:rPr>
        <w:t xml:space="preserve"> This indeed appears to be what the data is telling us, with cases for women referred on the basis of NRPF lasting for five days longer on average than for women who were understood to be entitled to benefits from the point of referral.</w:t>
      </w:r>
      <w:r w:rsidR="002D55AB" w:rsidRPr="00493AC6">
        <w:rPr>
          <w:rStyle w:val="FootnoteReference"/>
          <w:rFonts w:ascii="Open Sans" w:hAnsi="Open Sans" w:cs="Open Sans"/>
          <w:sz w:val="20"/>
        </w:rPr>
        <w:footnoteReference w:id="42"/>
      </w:r>
    </w:p>
    <w:p w14:paraId="1DCF165F" w14:textId="068F4F63" w:rsidR="0035030E" w:rsidRDefault="0035030E" w:rsidP="007E72F1">
      <w:pPr>
        <w:rPr>
          <w:rFonts w:ascii="Open Sans" w:hAnsi="Open Sans" w:cs="Open Sans"/>
        </w:rPr>
      </w:pPr>
    </w:p>
    <w:p w14:paraId="42E53D7D" w14:textId="4D162C81" w:rsidR="0035030E" w:rsidRDefault="0035030E" w:rsidP="0035030E">
      <w:pPr>
        <w:pStyle w:val="Heading3"/>
      </w:pPr>
      <w:r>
        <w:t>Table 6: What did women receive support with?</w:t>
      </w:r>
    </w:p>
    <w:p w14:paraId="11F2E75A" w14:textId="77777777" w:rsidR="0035030E" w:rsidRDefault="0035030E" w:rsidP="0035030E">
      <w:r w:rsidRPr="00493AC6">
        <w:t xml:space="preserve">Please note that this is a text version of a table depicting the same </w:t>
      </w:r>
      <w:r>
        <w:t>data</w:t>
      </w:r>
      <w:r w:rsidRPr="00493AC6">
        <w:t xml:space="preserve">. </w:t>
      </w:r>
      <w:r>
        <w:t>You can view this data in table format in the PDF version of this report, available on the Women’s Aid Evidence Hub.</w:t>
      </w:r>
    </w:p>
    <w:p w14:paraId="66B6375D" w14:textId="313287E6" w:rsidR="0035030E" w:rsidRDefault="0035030E" w:rsidP="0035030E">
      <w:r>
        <w:t xml:space="preserve">Below is a list of different categories of issues that women received support for, as well as the number of women supported and the percentage out of the total 184 women. </w:t>
      </w:r>
    </w:p>
    <w:p w14:paraId="18A0AB8C" w14:textId="0B8DF49A" w:rsidR="0035030E" w:rsidRDefault="0035030E" w:rsidP="0035030E">
      <w:pPr>
        <w:pStyle w:val="ListParagraph"/>
        <w:numPr>
          <w:ilvl w:val="0"/>
          <w:numId w:val="20"/>
        </w:numPr>
      </w:pPr>
      <w:r>
        <w:t>Housing: 43 (23.4%)</w:t>
      </w:r>
    </w:p>
    <w:p w14:paraId="66E1E323" w14:textId="67BD6ECD" w:rsidR="0035030E" w:rsidRDefault="0035030E" w:rsidP="0035030E">
      <w:pPr>
        <w:pStyle w:val="ListParagraph"/>
        <w:numPr>
          <w:ilvl w:val="0"/>
          <w:numId w:val="20"/>
        </w:numPr>
      </w:pPr>
      <w:r>
        <w:t>Referral and signposting: 34 (18.5%)</w:t>
      </w:r>
    </w:p>
    <w:p w14:paraId="02D3A849" w14:textId="3D0196E1" w:rsidR="0035030E" w:rsidRDefault="0035030E" w:rsidP="0035030E">
      <w:pPr>
        <w:pStyle w:val="ListParagraph"/>
        <w:numPr>
          <w:ilvl w:val="0"/>
          <w:numId w:val="20"/>
        </w:numPr>
      </w:pPr>
      <w:r>
        <w:t>Immigration: 17 (9.2%)</w:t>
      </w:r>
    </w:p>
    <w:p w14:paraId="0CEBA195" w14:textId="52161697" w:rsidR="0035030E" w:rsidRDefault="0035030E" w:rsidP="0035030E">
      <w:pPr>
        <w:pStyle w:val="ListParagraph"/>
        <w:numPr>
          <w:ilvl w:val="0"/>
          <w:numId w:val="20"/>
        </w:numPr>
      </w:pPr>
      <w:r>
        <w:t>Emotional support: 16 (8.7%)</w:t>
      </w:r>
    </w:p>
    <w:p w14:paraId="46A2994A" w14:textId="1F2AC120" w:rsidR="0035030E" w:rsidRDefault="0035030E" w:rsidP="0035030E">
      <w:pPr>
        <w:pStyle w:val="ListParagraph"/>
        <w:numPr>
          <w:ilvl w:val="0"/>
          <w:numId w:val="20"/>
        </w:numPr>
      </w:pPr>
      <w:r>
        <w:t>Children: 14 (7.6%)</w:t>
      </w:r>
    </w:p>
    <w:p w14:paraId="66DF7347" w14:textId="0CF6EEFC" w:rsidR="0035030E" w:rsidRDefault="0035030E" w:rsidP="0035030E">
      <w:pPr>
        <w:pStyle w:val="ListParagraph"/>
        <w:numPr>
          <w:ilvl w:val="0"/>
          <w:numId w:val="20"/>
        </w:numPr>
      </w:pPr>
      <w:r>
        <w:t>Finances: 10 (5.4%)</w:t>
      </w:r>
    </w:p>
    <w:p w14:paraId="25565FAF" w14:textId="44F468B0" w:rsidR="0035030E" w:rsidRDefault="0035030E" w:rsidP="0035030E">
      <w:pPr>
        <w:pStyle w:val="ListParagraph"/>
        <w:numPr>
          <w:ilvl w:val="0"/>
          <w:numId w:val="20"/>
        </w:numPr>
      </w:pPr>
      <w:r>
        <w:lastRenderedPageBreak/>
        <w:t>Safety planning: 10 (5.4%)</w:t>
      </w:r>
    </w:p>
    <w:p w14:paraId="7DA17DD5" w14:textId="53FA0BE3" w:rsidR="0035030E" w:rsidRDefault="0035030E" w:rsidP="0035030E">
      <w:pPr>
        <w:pStyle w:val="ListParagraph"/>
        <w:numPr>
          <w:ilvl w:val="0"/>
          <w:numId w:val="20"/>
        </w:numPr>
      </w:pPr>
      <w:r>
        <w:t>Mental health: 10 (5.4%)</w:t>
      </w:r>
    </w:p>
    <w:p w14:paraId="37655C99" w14:textId="37F60A8F" w:rsidR="0035030E" w:rsidRDefault="0035030E" w:rsidP="0035030E">
      <w:pPr>
        <w:pStyle w:val="ListParagraph"/>
        <w:numPr>
          <w:ilvl w:val="0"/>
          <w:numId w:val="20"/>
        </w:numPr>
      </w:pPr>
      <w:r>
        <w:t>Criminal justice: 10 (5.4%)</w:t>
      </w:r>
    </w:p>
    <w:p w14:paraId="469E3C1D" w14:textId="7C96B612" w:rsidR="0035030E" w:rsidRDefault="0035030E" w:rsidP="0035030E">
      <w:pPr>
        <w:pStyle w:val="ListParagraph"/>
        <w:numPr>
          <w:ilvl w:val="0"/>
          <w:numId w:val="20"/>
        </w:numPr>
      </w:pPr>
      <w:r>
        <w:t>Safeguarding: 9 (4.9%)</w:t>
      </w:r>
    </w:p>
    <w:p w14:paraId="3F74F8E8" w14:textId="617A096F" w:rsidR="0035030E" w:rsidRDefault="0035030E" w:rsidP="0035030E">
      <w:pPr>
        <w:pStyle w:val="ListParagraph"/>
        <w:numPr>
          <w:ilvl w:val="0"/>
          <w:numId w:val="20"/>
        </w:numPr>
      </w:pPr>
      <w:r>
        <w:t>Drugs and alcohol: 8 (4.3%)</w:t>
      </w:r>
    </w:p>
    <w:p w14:paraId="057DA3FE" w14:textId="26C2C564" w:rsidR="0035030E" w:rsidRDefault="0035030E" w:rsidP="0035030E">
      <w:pPr>
        <w:pStyle w:val="ListParagraph"/>
        <w:numPr>
          <w:ilvl w:val="0"/>
          <w:numId w:val="20"/>
        </w:numPr>
      </w:pPr>
      <w:r>
        <w:t>Physical health</w:t>
      </w:r>
      <w:r w:rsidR="00343AB3">
        <w:t>: 6 (3.3%)</w:t>
      </w:r>
    </w:p>
    <w:p w14:paraId="4008F43B" w14:textId="5B970468" w:rsidR="0035030E" w:rsidRDefault="0035030E" w:rsidP="0035030E">
      <w:pPr>
        <w:pStyle w:val="ListParagraph"/>
        <w:numPr>
          <w:ilvl w:val="0"/>
          <w:numId w:val="20"/>
        </w:numPr>
      </w:pPr>
      <w:r>
        <w:t>Practical support</w:t>
      </w:r>
      <w:r w:rsidR="00343AB3">
        <w:t>: 6 (3.3%)</w:t>
      </w:r>
    </w:p>
    <w:p w14:paraId="328E54AD" w14:textId="447F1FA6" w:rsidR="0035030E" w:rsidRDefault="0035030E" w:rsidP="0035030E">
      <w:pPr>
        <w:pStyle w:val="ListParagraph"/>
        <w:numPr>
          <w:ilvl w:val="0"/>
          <w:numId w:val="20"/>
        </w:numPr>
      </w:pPr>
      <w:r>
        <w:t>Family law</w:t>
      </w:r>
      <w:r w:rsidR="00343AB3">
        <w:t>: 6 (3.3%)</w:t>
      </w:r>
    </w:p>
    <w:p w14:paraId="19533124" w14:textId="332D0807" w:rsidR="0035030E" w:rsidRDefault="0035030E" w:rsidP="0035030E">
      <w:pPr>
        <w:pStyle w:val="ListParagraph"/>
        <w:numPr>
          <w:ilvl w:val="0"/>
          <w:numId w:val="20"/>
        </w:numPr>
      </w:pPr>
      <w:r>
        <w:t>Offending</w:t>
      </w:r>
      <w:r w:rsidR="00343AB3">
        <w:t>: 4 (2.2%)</w:t>
      </w:r>
    </w:p>
    <w:p w14:paraId="2790DFB6" w14:textId="1BE34297" w:rsidR="0035030E" w:rsidRDefault="0035030E" w:rsidP="0035030E">
      <w:pPr>
        <w:pStyle w:val="ListParagraph"/>
        <w:numPr>
          <w:ilvl w:val="0"/>
          <w:numId w:val="20"/>
        </w:numPr>
      </w:pPr>
      <w:r>
        <w:t>Civil justice: 3 (1.6%)</w:t>
      </w:r>
    </w:p>
    <w:p w14:paraId="7BE31458" w14:textId="237803E1" w:rsidR="0035030E" w:rsidRDefault="0035030E" w:rsidP="0035030E">
      <w:pPr>
        <w:pStyle w:val="ListParagraph"/>
        <w:numPr>
          <w:ilvl w:val="0"/>
          <w:numId w:val="20"/>
        </w:numPr>
      </w:pPr>
      <w:r>
        <w:t>Covid-19</w:t>
      </w:r>
      <w:r w:rsidR="00343AB3">
        <w:t>: 3 (1.6%)</w:t>
      </w:r>
    </w:p>
    <w:p w14:paraId="51905BE5" w14:textId="54547E86" w:rsidR="0035030E" w:rsidRDefault="0035030E" w:rsidP="0035030E">
      <w:pPr>
        <w:pStyle w:val="ListParagraph"/>
        <w:numPr>
          <w:ilvl w:val="0"/>
          <w:numId w:val="20"/>
        </w:numPr>
      </w:pPr>
      <w:r>
        <w:t>Education, employment and training</w:t>
      </w:r>
      <w:r w:rsidR="00343AB3">
        <w:t>: 3 (1.6%)</w:t>
      </w:r>
    </w:p>
    <w:p w14:paraId="2A2237A2" w14:textId="1C1DDBD3" w:rsidR="0035030E" w:rsidRDefault="0035030E" w:rsidP="0035030E">
      <w:pPr>
        <w:pStyle w:val="ListParagraph"/>
        <w:numPr>
          <w:ilvl w:val="0"/>
          <w:numId w:val="20"/>
        </w:numPr>
      </w:pPr>
      <w:r>
        <w:t>Multi-Agency Risk Assessment Conference (MARAC)</w:t>
      </w:r>
      <w:r w:rsidR="00343AB3">
        <w:t>: 3 (1.6%)</w:t>
      </w:r>
    </w:p>
    <w:p w14:paraId="7DBD1AB7" w14:textId="427EBC58" w:rsidR="0035030E" w:rsidRDefault="0035030E" w:rsidP="0035030E">
      <w:pPr>
        <w:pStyle w:val="ListParagraph"/>
        <w:numPr>
          <w:ilvl w:val="0"/>
          <w:numId w:val="20"/>
        </w:numPr>
      </w:pPr>
      <w:r>
        <w:t>Parenting</w:t>
      </w:r>
      <w:r w:rsidR="00343AB3">
        <w:t>: 3 (1.6%)</w:t>
      </w:r>
    </w:p>
    <w:p w14:paraId="5AB6C8A7" w14:textId="7E84698F" w:rsidR="0035030E" w:rsidRDefault="0035030E" w:rsidP="0035030E">
      <w:pPr>
        <w:pStyle w:val="ListParagraph"/>
        <w:numPr>
          <w:ilvl w:val="0"/>
          <w:numId w:val="20"/>
        </w:numPr>
      </w:pPr>
      <w:r>
        <w:t>Risk assessment</w:t>
      </w:r>
      <w:r w:rsidR="00343AB3">
        <w:t>: 3 (1.6%)</w:t>
      </w:r>
    </w:p>
    <w:p w14:paraId="313C9758" w14:textId="5A14073C" w:rsidR="0035030E" w:rsidRDefault="0035030E" w:rsidP="0035030E">
      <w:pPr>
        <w:pStyle w:val="ListParagraph"/>
        <w:numPr>
          <w:ilvl w:val="0"/>
          <w:numId w:val="20"/>
        </w:numPr>
      </w:pPr>
      <w:r>
        <w:t>Sexual health</w:t>
      </w:r>
      <w:r w:rsidR="00343AB3">
        <w:t xml:space="preserve">: 3 (1.6%) </w:t>
      </w:r>
    </w:p>
    <w:p w14:paraId="7A945379" w14:textId="4B348CEE" w:rsidR="0035030E" w:rsidRDefault="0035030E" w:rsidP="0035030E">
      <w:pPr>
        <w:pStyle w:val="ListParagraph"/>
        <w:numPr>
          <w:ilvl w:val="0"/>
          <w:numId w:val="20"/>
        </w:numPr>
      </w:pPr>
      <w:r>
        <w:t>Other: 38 (20.6%)</w:t>
      </w:r>
    </w:p>
    <w:p w14:paraId="211FC2C4" w14:textId="6398238B" w:rsidR="002D55AB" w:rsidRPr="00343AB3" w:rsidRDefault="00343AB3" w:rsidP="00343AB3">
      <w:r>
        <w:t>End of table data.</w:t>
      </w:r>
    </w:p>
    <w:p w14:paraId="5A7F9944" w14:textId="77777777" w:rsidR="002D55AB" w:rsidRPr="00493AC6" w:rsidRDefault="002D55AB" w:rsidP="007E72F1">
      <w:pPr>
        <w:rPr>
          <w:rFonts w:eastAsiaTheme="majorEastAsia"/>
          <w:sz w:val="26"/>
          <w:szCs w:val="26"/>
        </w:rPr>
      </w:pPr>
      <w:r w:rsidRPr="00493AC6">
        <w:br w:type="page"/>
      </w:r>
    </w:p>
    <w:p w14:paraId="6C27AB27" w14:textId="77777777" w:rsidR="0095003C" w:rsidRPr="00493AC6" w:rsidRDefault="005658B9" w:rsidP="00343AB3">
      <w:pPr>
        <w:pStyle w:val="Heading2"/>
      </w:pPr>
      <w:bookmarkStart w:id="47" w:name="_Toc104535769"/>
      <w:r w:rsidRPr="00493AC6">
        <w:lastRenderedPageBreak/>
        <w:t>Interview with an NWTA practitioner</w:t>
      </w:r>
      <w:bookmarkEnd w:id="47"/>
    </w:p>
    <w:p w14:paraId="48DDF51F" w14:textId="6A3517E0" w:rsidR="00450475" w:rsidRPr="00493AC6" w:rsidRDefault="00CF3B71" w:rsidP="007E72F1">
      <w:pPr>
        <w:rPr>
          <w:rFonts w:ascii="Open Sans" w:hAnsi="Open Sans" w:cs="Open Sans"/>
        </w:rPr>
      </w:pPr>
      <w:r w:rsidRPr="00493AC6">
        <w:rPr>
          <w:rFonts w:ascii="Open Sans" w:hAnsi="Open Sans" w:cs="Open Sans"/>
        </w:rPr>
        <w:t>Priya</w:t>
      </w:r>
      <w:r w:rsidR="00947E20" w:rsidRPr="00493AC6">
        <w:rPr>
          <w:rStyle w:val="FootnoteReference"/>
          <w:rFonts w:ascii="Open Sans" w:hAnsi="Open Sans" w:cs="Open Sans"/>
        </w:rPr>
        <w:footnoteReference w:id="43"/>
      </w:r>
      <w:r w:rsidR="005658B9" w:rsidRPr="00493AC6">
        <w:rPr>
          <w:rFonts w:ascii="Open Sans" w:hAnsi="Open Sans" w:cs="Open Sans"/>
        </w:rPr>
        <w:t xml:space="preserve"> joined the NWTA project last year as a specialist domestic abuse practitioner, after having previously worked as an advocate in a local domestic abuse service, as well as a support worker on Women’s Aid Live Chat service</w:t>
      </w:r>
      <w:r w:rsidR="00D117C8" w:rsidRPr="00493AC6">
        <w:rPr>
          <w:rFonts w:ascii="Open Sans" w:hAnsi="Open Sans" w:cs="Open Sans"/>
        </w:rPr>
        <w:t xml:space="preserve"> and the National Domestic Violence Helpline</w:t>
      </w:r>
      <w:r w:rsidR="00E311D5" w:rsidRPr="00493AC6">
        <w:rPr>
          <w:rFonts w:ascii="Open Sans" w:hAnsi="Open Sans" w:cs="Open Sans"/>
        </w:rPr>
        <w:t>.</w:t>
      </w:r>
    </w:p>
    <w:p w14:paraId="11E1D1E8" w14:textId="77777777" w:rsidR="00E311D5" w:rsidRPr="00493AC6" w:rsidRDefault="00E311D5" w:rsidP="007E72F1">
      <w:pPr>
        <w:rPr>
          <w:rFonts w:ascii="Open Sans" w:hAnsi="Open Sans" w:cs="Open Sans"/>
        </w:rPr>
      </w:pPr>
    </w:p>
    <w:p w14:paraId="6A60609D" w14:textId="77777777" w:rsidR="00450475" w:rsidRPr="00493AC6" w:rsidRDefault="00450475" w:rsidP="00343AB3">
      <w:pPr>
        <w:pStyle w:val="Heading3"/>
        <w:rPr>
          <w:iCs/>
        </w:rPr>
      </w:pPr>
      <w:r w:rsidRPr="00493AC6">
        <w:t>Impact of lockdown</w:t>
      </w:r>
    </w:p>
    <w:p w14:paraId="0E674C44" w14:textId="77777777" w:rsidR="005658B9" w:rsidRPr="00493AC6" w:rsidRDefault="00450475" w:rsidP="007E72F1">
      <w:pPr>
        <w:rPr>
          <w:rFonts w:ascii="Open Sans" w:hAnsi="Open Sans" w:cs="Open Sans"/>
        </w:rPr>
      </w:pPr>
      <w:r w:rsidRPr="00493AC6">
        <w:rPr>
          <w:rFonts w:ascii="Open Sans" w:hAnsi="Open Sans" w:cs="Open Sans"/>
        </w:rPr>
        <w:t>A</w:t>
      </w:r>
      <w:r w:rsidR="00D117C8" w:rsidRPr="00493AC6">
        <w:rPr>
          <w:rFonts w:ascii="Open Sans" w:hAnsi="Open Sans" w:cs="Open Sans"/>
        </w:rPr>
        <w:t xml:space="preserve">lthough </w:t>
      </w:r>
      <w:r w:rsidR="00140FE9" w:rsidRPr="00493AC6">
        <w:rPr>
          <w:rFonts w:ascii="Open Sans" w:hAnsi="Open Sans" w:cs="Open Sans"/>
        </w:rPr>
        <w:t>Priya</w:t>
      </w:r>
      <w:r w:rsidR="00D117C8" w:rsidRPr="00493AC6">
        <w:rPr>
          <w:rFonts w:ascii="Open Sans" w:hAnsi="Open Sans" w:cs="Open Sans"/>
        </w:rPr>
        <w:t xml:space="preserve"> was not working</w:t>
      </w:r>
      <w:r w:rsidR="00ED38BB" w:rsidRPr="00493AC6">
        <w:rPr>
          <w:rFonts w:ascii="Open Sans" w:hAnsi="Open Sans" w:cs="Open Sans"/>
        </w:rPr>
        <w:t xml:space="preserve"> in the NTWA project</w:t>
      </w:r>
      <w:r w:rsidR="00D117C8" w:rsidRPr="00493AC6">
        <w:rPr>
          <w:rFonts w:ascii="Open Sans" w:hAnsi="Open Sans" w:cs="Open Sans"/>
        </w:rPr>
        <w:t xml:space="preserve"> before the Covid-19 pandemic</w:t>
      </w:r>
      <w:r w:rsidRPr="00493AC6">
        <w:rPr>
          <w:rFonts w:ascii="Open Sans" w:hAnsi="Open Sans" w:cs="Open Sans"/>
        </w:rPr>
        <w:t>,</w:t>
      </w:r>
      <w:r w:rsidR="00ED38BB" w:rsidRPr="00493AC6">
        <w:rPr>
          <w:rFonts w:ascii="Open Sans" w:hAnsi="Open Sans" w:cs="Open Sans"/>
        </w:rPr>
        <w:t xml:space="preserve"> </w:t>
      </w:r>
      <w:r w:rsidRPr="00493AC6">
        <w:rPr>
          <w:rFonts w:ascii="Open Sans" w:hAnsi="Open Sans" w:cs="Open Sans"/>
        </w:rPr>
        <w:t xml:space="preserve">she does have </w:t>
      </w:r>
      <w:r w:rsidR="00ED38BB" w:rsidRPr="00493AC6">
        <w:rPr>
          <w:rFonts w:ascii="Open Sans" w:hAnsi="Open Sans" w:cs="Open Sans"/>
        </w:rPr>
        <w:t xml:space="preserve">experience of working closely alongside </w:t>
      </w:r>
      <w:r w:rsidR="001E48F0" w:rsidRPr="00493AC6">
        <w:rPr>
          <w:rFonts w:ascii="Open Sans" w:hAnsi="Open Sans" w:cs="Open Sans"/>
        </w:rPr>
        <w:t xml:space="preserve">them </w:t>
      </w:r>
      <w:r w:rsidR="00ED38BB" w:rsidRPr="00493AC6">
        <w:rPr>
          <w:rFonts w:ascii="Open Sans" w:hAnsi="Open Sans" w:cs="Open Sans"/>
        </w:rPr>
        <w:t>and making referrals into NWTA</w:t>
      </w:r>
      <w:r w:rsidR="001E48F0" w:rsidRPr="00493AC6">
        <w:rPr>
          <w:rFonts w:ascii="Open Sans" w:hAnsi="Open Sans" w:cs="Open Sans"/>
        </w:rPr>
        <w:t xml:space="preserve"> prior to this</w:t>
      </w:r>
      <w:r w:rsidR="00ED38BB" w:rsidRPr="00493AC6">
        <w:rPr>
          <w:rFonts w:ascii="Open Sans" w:hAnsi="Open Sans" w:cs="Open Sans"/>
        </w:rPr>
        <w:t>.</w:t>
      </w:r>
      <w:r w:rsidR="008C4315" w:rsidRPr="00493AC6">
        <w:rPr>
          <w:rFonts w:ascii="Open Sans" w:hAnsi="Open Sans" w:cs="Open Sans"/>
        </w:rPr>
        <w:t xml:space="preserve"> When asked about survivors being referred </w:t>
      </w:r>
      <w:r w:rsidR="00154FF5" w:rsidRPr="00493AC6">
        <w:rPr>
          <w:rFonts w:ascii="Open Sans" w:hAnsi="Open Sans" w:cs="Open Sans"/>
        </w:rPr>
        <w:t>on the basis of not being able to contact refuges because of lockdown restrictions</w:t>
      </w:r>
      <w:r w:rsidR="008B3494" w:rsidRPr="00493AC6">
        <w:rPr>
          <w:rFonts w:ascii="Open Sans" w:hAnsi="Open Sans" w:cs="Open Sans"/>
        </w:rPr>
        <w:t xml:space="preserve">, </w:t>
      </w:r>
      <w:r w:rsidR="00CF3B71" w:rsidRPr="00493AC6">
        <w:rPr>
          <w:rFonts w:ascii="Open Sans" w:hAnsi="Open Sans" w:cs="Open Sans"/>
        </w:rPr>
        <w:t>Priya</w:t>
      </w:r>
      <w:r w:rsidR="008B3494" w:rsidRPr="00493AC6">
        <w:rPr>
          <w:rFonts w:ascii="Open Sans" w:hAnsi="Open Sans" w:cs="Open Sans"/>
        </w:rPr>
        <w:t xml:space="preserve"> said that perpetrators controlling survivors in this way is something that we have long seen and continue to see in the project.</w:t>
      </w:r>
    </w:p>
    <w:p w14:paraId="2BE58F64" w14:textId="77777777" w:rsidR="008C4315" w:rsidRPr="00493AC6" w:rsidRDefault="008C4315" w:rsidP="007E72F1">
      <w:pPr>
        <w:jc w:val="both"/>
        <w:rPr>
          <w:rFonts w:ascii="Open Sans" w:eastAsia="Calibri" w:hAnsi="Open Sans" w:cs="Open Sans"/>
          <w:lang w:val="en-US"/>
        </w:rPr>
      </w:pPr>
      <w:r w:rsidRPr="00493AC6">
        <w:rPr>
          <w:rFonts w:ascii="Open Sans" w:eastAsia="Calibri" w:hAnsi="Open Sans" w:cs="Open Sans"/>
          <w:lang w:val="en-US"/>
        </w:rPr>
        <w:t>“To be honest it is something that's continued anyway, like regardless of lockdown we have had referrals where women have said he's around all the time, I can't make the phone calls […] I think like the tactics we saw in lockdown, they're very similar to what we've always seen.”</w:t>
      </w:r>
    </w:p>
    <w:p w14:paraId="20BABC22" w14:textId="77777777" w:rsidR="008C4315" w:rsidRPr="00493AC6" w:rsidRDefault="008C4315" w:rsidP="007E72F1">
      <w:pPr>
        <w:rPr>
          <w:rFonts w:ascii="Open Sans" w:eastAsia="Calibri" w:hAnsi="Open Sans" w:cs="Open Sans"/>
          <w:lang w:val="en-US"/>
        </w:rPr>
      </w:pPr>
      <w:r w:rsidRPr="00493AC6">
        <w:rPr>
          <w:rFonts w:ascii="Open Sans" w:eastAsia="Calibri" w:hAnsi="Open Sans" w:cs="Open Sans"/>
          <w:lang w:val="en-US"/>
        </w:rPr>
        <w:t xml:space="preserve">Nonetheless, </w:t>
      </w:r>
      <w:r w:rsidR="00140FE9" w:rsidRPr="00493AC6">
        <w:rPr>
          <w:rFonts w:ascii="Open Sans" w:eastAsia="Calibri" w:hAnsi="Open Sans" w:cs="Open Sans"/>
          <w:lang w:val="en-US"/>
        </w:rPr>
        <w:t>Priya</w:t>
      </w:r>
      <w:r w:rsidRPr="00493AC6">
        <w:rPr>
          <w:rFonts w:ascii="Open Sans" w:eastAsia="Calibri" w:hAnsi="Open Sans" w:cs="Open Sans"/>
          <w:lang w:val="en-US"/>
        </w:rPr>
        <w:t xml:space="preserve"> has noticed some cases in which </w:t>
      </w:r>
      <w:r w:rsidR="007C39B6" w:rsidRPr="00493AC6">
        <w:rPr>
          <w:rFonts w:ascii="Open Sans" w:eastAsia="Calibri" w:hAnsi="Open Sans" w:cs="Open Sans"/>
          <w:lang w:val="en-US"/>
        </w:rPr>
        <w:t xml:space="preserve">the perpetrators have been able to exploit the </w:t>
      </w:r>
      <w:r w:rsidR="00D06BE6" w:rsidRPr="00493AC6">
        <w:rPr>
          <w:rFonts w:ascii="Open Sans" w:eastAsia="Calibri" w:hAnsi="Open Sans" w:cs="Open Sans"/>
          <w:lang w:val="en-US"/>
        </w:rPr>
        <w:t>consequences</w:t>
      </w:r>
      <w:r w:rsidR="007C39B6" w:rsidRPr="00493AC6">
        <w:rPr>
          <w:rFonts w:ascii="Open Sans" w:eastAsia="Calibri" w:hAnsi="Open Sans" w:cs="Open Sans"/>
          <w:lang w:val="en-US"/>
        </w:rPr>
        <w:t xml:space="preserve"> of the lockdown to </w:t>
      </w:r>
      <w:r w:rsidR="007C39B6" w:rsidRPr="00493AC6">
        <w:rPr>
          <w:rFonts w:ascii="Open Sans" w:eastAsia="Calibri" w:hAnsi="Open Sans" w:cs="Open Sans"/>
          <w:lang w:val="en-US"/>
        </w:rPr>
        <w:lastRenderedPageBreak/>
        <w:t>continue controlling and monitoring survivors, even after lockdown has ended.</w:t>
      </w:r>
    </w:p>
    <w:p w14:paraId="36D01ECC" w14:textId="18984559" w:rsidR="00D117C8" w:rsidRPr="00493AC6" w:rsidRDefault="00D117C8" w:rsidP="007E72F1">
      <w:pPr>
        <w:jc w:val="both"/>
        <w:rPr>
          <w:rFonts w:ascii="Open Sans" w:eastAsia="Calibri" w:hAnsi="Open Sans" w:cs="Open Sans"/>
          <w:lang w:val="en-US"/>
        </w:rPr>
      </w:pPr>
      <w:r w:rsidRPr="00493AC6">
        <w:rPr>
          <w:rFonts w:ascii="Open Sans" w:eastAsia="Calibri" w:hAnsi="Open Sans" w:cs="Open Sans"/>
          <w:lang w:val="en-US"/>
        </w:rPr>
        <w:t>“We've seen perpetrators out of work because of lockdown and then they've not managed to find work or they've just kind of given up on it […] then the women have come forward and said ‘he's just always around now</w:t>
      </w:r>
      <w:r w:rsidR="00E311D5" w:rsidRPr="00493AC6">
        <w:rPr>
          <w:rFonts w:ascii="Open Sans" w:eastAsia="Calibri" w:hAnsi="Open Sans" w:cs="Open Sans"/>
          <w:lang w:val="en-US"/>
        </w:rPr>
        <w:t>, he's not going back to work.”</w:t>
      </w:r>
    </w:p>
    <w:p w14:paraId="24A936E8" w14:textId="77777777" w:rsidR="00E311D5" w:rsidRPr="00493AC6" w:rsidRDefault="00E311D5" w:rsidP="007E72F1">
      <w:pPr>
        <w:jc w:val="both"/>
        <w:rPr>
          <w:rFonts w:ascii="Open Sans" w:eastAsia="Calibri" w:hAnsi="Open Sans" w:cs="Open Sans"/>
          <w:lang w:val="en-US"/>
        </w:rPr>
      </w:pPr>
    </w:p>
    <w:p w14:paraId="693A45A8" w14:textId="77777777" w:rsidR="0040740B" w:rsidRPr="00493AC6" w:rsidRDefault="0040740B" w:rsidP="00343AB3">
      <w:pPr>
        <w:pStyle w:val="Heading3"/>
        <w:rPr>
          <w:rFonts w:eastAsia="Calibri"/>
          <w:iCs/>
          <w:lang w:val="en-US"/>
        </w:rPr>
      </w:pPr>
      <w:r w:rsidRPr="00493AC6">
        <w:rPr>
          <w:rFonts w:eastAsia="Calibri"/>
          <w:lang w:val="en-US"/>
        </w:rPr>
        <w:t>Challenges in secur</w:t>
      </w:r>
      <w:r w:rsidR="00060D8B" w:rsidRPr="00493AC6">
        <w:rPr>
          <w:rFonts w:eastAsia="Calibri"/>
          <w:lang w:val="en-US"/>
        </w:rPr>
        <w:t xml:space="preserve">ing </w:t>
      </w:r>
      <w:r w:rsidR="00336DA3" w:rsidRPr="00493AC6">
        <w:rPr>
          <w:rFonts w:eastAsia="Calibri"/>
          <w:lang w:val="en-US"/>
        </w:rPr>
        <w:t xml:space="preserve">a </w:t>
      </w:r>
      <w:r w:rsidR="00060D8B" w:rsidRPr="00493AC6">
        <w:rPr>
          <w:rFonts w:eastAsia="Calibri"/>
          <w:lang w:val="en-US"/>
        </w:rPr>
        <w:t>refuge</w:t>
      </w:r>
      <w:r w:rsidR="00336DA3" w:rsidRPr="00493AC6">
        <w:rPr>
          <w:rFonts w:eastAsia="Calibri"/>
          <w:lang w:val="en-US"/>
        </w:rPr>
        <w:t xml:space="preserve"> space</w:t>
      </w:r>
    </w:p>
    <w:p w14:paraId="7B8F3E28" w14:textId="77777777" w:rsidR="00060D8B" w:rsidRPr="00493AC6" w:rsidRDefault="00060D8B" w:rsidP="007E72F1">
      <w:pPr>
        <w:rPr>
          <w:rFonts w:ascii="Open Sans" w:eastAsia="Calibri" w:hAnsi="Open Sans" w:cs="Open Sans"/>
          <w:b/>
          <w:color w:val="B6006C"/>
          <w:lang w:val="en-US"/>
        </w:rPr>
      </w:pPr>
      <w:r w:rsidRPr="00493AC6">
        <w:rPr>
          <w:rFonts w:ascii="Open Sans" w:eastAsia="Calibri" w:hAnsi="Open Sans" w:cs="Open Sans"/>
          <w:lang w:val="en-US"/>
        </w:rPr>
        <w:t xml:space="preserve">Priya talked about the difficulty of navigating the different refuge criteria each </w:t>
      </w:r>
      <w:r w:rsidR="003A00D8" w:rsidRPr="00493AC6">
        <w:rPr>
          <w:rFonts w:ascii="Open Sans" w:eastAsia="Calibri" w:hAnsi="Open Sans" w:cs="Open Sans"/>
          <w:lang w:val="en-US"/>
        </w:rPr>
        <w:t xml:space="preserve">service </w:t>
      </w:r>
      <w:r w:rsidRPr="00493AC6">
        <w:rPr>
          <w:rFonts w:ascii="Open Sans" w:eastAsia="Calibri" w:hAnsi="Open Sans" w:cs="Open Sans"/>
          <w:lang w:val="en-US"/>
        </w:rPr>
        <w:t xml:space="preserve">has on top of the availability and provision of </w:t>
      </w:r>
      <w:r w:rsidR="003A00D8" w:rsidRPr="00493AC6">
        <w:rPr>
          <w:rFonts w:ascii="Open Sans" w:eastAsia="Calibri" w:hAnsi="Open Sans" w:cs="Open Sans"/>
          <w:lang w:val="en-US"/>
        </w:rPr>
        <w:t>support</w:t>
      </w:r>
      <w:r w:rsidRPr="00493AC6">
        <w:rPr>
          <w:rFonts w:ascii="Open Sans" w:eastAsia="Calibri" w:hAnsi="Open Sans" w:cs="Open Sans"/>
          <w:lang w:val="en-US"/>
        </w:rPr>
        <w:t>.</w:t>
      </w:r>
      <w:r w:rsidR="00F50D44" w:rsidRPr="00493AC6">
        <w:rPr>
          <w:rFonts w:ascii="Open Sans" w:eastAsia="Calibri" w:hAnsi="Open Sans" w:cs="Open Sans"/>
          <w:lang w:val="en-US"/>
        </w:rPr>
        <w:t xml:space="preserve"> As an example, she talked about supporting one survivor who had some alcohol support needs that didn’t really equate to a dependency.</w:t>
      </w:r>
    </w:p>
    <w:p w14:paraId="41507599" w14:textId="77777777" w:rsidR="00060D8B" w:rsidRPr="00493AC6" w:rsidRDefault="00F50D44" w:rsidP="007E72F1">
      <w:pPr>
        <w:jc w:val="both"/>
        <w:rPr>
          <w:rFonts w:ascii="Open Sans" w:eastAsia="Calibri" w:hAnsi="Open Sans" w:cs="Open Sans"/>
          <w:lang w:val="en-US"/>
        </w:rPr>
      </w:pPr>
      <w:r w:rsidRPr="00493AC6">
        <w:rPr>
          <w:rFonts w:ascii="Open Sans" w:eastAsia="Calibri" w:hAnsi="Open Sans" w:cs="Open Sans"/>
          <w:lang w:val="en-US"/>
        </w:rPr>
        <w:t>“</w:t>
      </w:r>
      <w:r w:rsidR="00060D8B" w:rsidRPr="00493AC6">
        <w:rPr>
          <w:rFonts w:ascii="Open Sans" w:eastAsia="Calibri" w:hAnsi="Open Sans" w:cs="Open Sans"/>
          <w:lang w:val="en-US"/>
        </w:rPr>
        <w:t>She didn't have an addiction, so when she was being assessed by recovery refug</w:t>
      </w:r>
      <w:r w:rsidRPr="00493AC6">
        <w:rPr>
          <w:rFonts w:ascii="Open Sans" w:eastAsia="Calibri" w:hAnsi="Open Sans" w:cs="Open Sans"/>
          <w:lang w:val="en-US"/>
        </w:rPr>
        <w:t>es, they said</w:t>
      </w:r>
      <w:r w:rsidR="00060D8B" w:rsidRPr="00493AC6">
        <w:rPr>
          <w:rFonts w:ascii="Open Sans" w:eastAsia="Calibri" w:hAnsi="Open Sans" w:cs="Open Sans"/>
          <w:lang w:val="en-US"/>
        </w:rPr>
        <w:t xml:space="preserve"> ‘but you don't have an additional dependency and you’ve told us you don’t actually want support with that because you don't think you need it.’ You know</w:t>
      </w:r>
      <w:r w:rsidRPr="00493AC6">
        <w:rPr>
          <w:rFonts w:ascii="Open Sans" w:eastAsia="Calibri" w:hAnsi="Open Sans" w:cs="Open Sans"/>
          <w:lang w:val="en-US"/>
        </w:rPr>
        <w:t>,</w:t>
      </w:r>
      <w:r w:rsidR="00060D8B" w:rsidRPr="00493AC6">
        <w:rPr>
          <w:rFonts w:ascii="Open Sans" w:eastAsia="Calibri" w:hAnsi="Open Sans" w:cs="Open Sans"/>
          <w:lang w:val="en-US"/>
        </w:rPr>
        <w:t xml:space="preserve"> she even had a drug and alcohol worker who turned around and said ‘you're not addicted, you don't have a dependency, but you could do with a little bit of the other side of support around working on your triggers and things like that.’ But then the generic refuges</w:t>
      </w:r>
      <w:r w:rsidR="00947E20" w:rsidRPr="00493AC6">
        <w:rPr>
          <w:rStyle w:val="FootnoteReference"/>
          <w:rFonts w:ascii="Open Sans" w:eastAsia="Calibri" w:hAnsi="Open Sans" w:cs="Open Sans"/>
          <w:lang w:val="en-US"/>
        </w:rPr>
        <w:footnoteReference w:id="44"/>
      </w:r>
      <w:r w:rsidR="00060D8B" w:rsidRPr="00493AC6">
        <w:rPr>
          <w:rFonts w:ascii="Open Sans" w:eastAsia="Calibri" w:hAnsi="Open Sans" w:cs="Open Sans"/>
          <w:lang w:val="en-US"/>
        </w:rPr>
        <w:t xml:space="preserve"> were saying, ‘but you've still had a drink in the last three to six months and we can't take you </w:t>
      </w:r>
      <w:r w:rsidR="00060D8B" w:rsidRPr="00493AC6">
        <w:rPr>
          <w:rFonts w:ascii="Open Sans" w:eastAsia="Calibri" w:hAnsi="Open Sans" w:cs="Open Sans"/>
          <w:lang w:val="en-US"/>
        </w:rPr>
        <w:lastRenderedPageBreak/>
        <w:t>for that reason.’ So this was a woman stuck in the middle of refuge rules and criteria</w:t>
      </w:r>
      <w:r w:rsidRPr="00493AC6">
        <w:rPr>
          <w:rFonts w:ascii="Open Sans" w:eastAsia="Calibri" w:hAnsi="Open Sans" w:cs="Open Sans"/>
          <w:lang w:val="en-US"/>
        </w:rPr>
        <w:t>.”</w:t>
      </w:r>
    </w:p>
    <w:p w14:paraId="0F75D435" w14:textId="61F90AD0" w:rsidR="00E4463C" w:rsidRPr="00493AC6" w:rsidRDefault="00F50D44" w:rsidP="007E72F1">
      <w:pPr>
        <w:rPr>
          <w:rFonts w:ascii="Open Sans" w:eastAsia="Calibri" w:hAnsi="Open Sans" w:cs="Open Sans"/>
          <w:lang w:val="en-US"/>
        </w:rPr>
      </w:pPr>
      <w:r w:rsidRPr="00493AC6">
        <w:rPr>
          <w:rFonts w:ascii="Open Sans" w:eastAsia="Calibri" w:hAnsi="Open Sans" w:cs="Open Sans"/>
          <w:lang w:val="en-US"/>
        </w:rPr>
        <w:t>Priya</w:t>
      </w:r>
      <w:r w:rsidR="001E5931" w:rsidRPr="00493AC6">
        <w:rPr>
          <w:rFonts w:ascii="Open Sans" w:eastAsia="Calibri" w:hAnsi="Open Sans" w:cs="Open Sans"/>
          <w:lang w:val="en-US"/>
        </w:rPr>
        <w:t xml:space="preserve"> came to the conclusion that the only option for this survivor was</w:t>
      </w:r>
      <w:r w:rsidRPr="00493AC6">
        <w:rPr>
          <w:rFonts w:ascii="Open Sans" w:eastAsia="Calibri" w:hAnsi="Open Sans" w:cs="Open Sans"/>
          <w:lang w:val="en-US"/>
        </w:rPr>
        <w:t xml:space="preserve"> to present as homeless to the local authority, and </w:t>
      </w:r>
      <w:r w:rsidR="001E5931" w:rsidRPr="00493AC6">
        <w:rPr>
          <w:rFonts w:ascii="Open Sans" w:eastAsia="Calibri" w:hAnsi="Open Sans" w:cs="Open Sans"/>
          <w:lang w:val="en-US"/>
        </w:rPr>
        <w:t>with Priya’s support she did</w:t>
      </w:r>
      <w:r w:rsidR="000F5E19" w:rsidRPr="00493AC6">
        <w:rPr>
          <w:rFonts w:ascii="Open Sans" w:eastAsia="Calibri" w:hAnsi="Open Sans" w:cs="Open Sans"/>
          <w:lang w:val="en-US"/>
        </w:rPr>
        <w:t xml:space="preserve"> so and was accommodated in temporary accommodation by them. This example highlight</w:t>
      </w:r>
      <w:r w:rsidR="003A00D8" w:rsidRPr="00493AC6">
        <w:rPr>
          <w:rFonts w:ascii="Open Sans" w:eastAsia="Calibri" w:hAnsi="Open Sans" w:cs="Open Sans"/>
          <w:lang w:val="en-US"/>
        </w:rPr>
        <w:t>s</w:t>
      </w:r>
      <w:r w:rsidR="000F5E19" w:rsidRPr="00493AC6">
        <w:rPr>
          <w:rFonts w:ascii="Open Sans" w:eastAsia="Calibri" w:hAnsi="Open Sans" w:cs="Open Sans"/>
          <w:lang w:val="en-US"/>
        </w:rPr>
        <w:t xml:space="preserve"> </w:t>
      </w:r>
      <w:r w:rsidR="0070750C" w:rsidRPr="00493AC6">
        <w:rPr>
          <w:rFonts w:ascii="Open Sans" w:eastAsia="Calibri" w:hAnsi="Open Sans" w:cs="Open Sans"/>
          <w:lang w:val="en-US"/>
        </w:rPr>
        <w:t xml:space="preserve">just how many </w:t>
      </w:r>
      <w:r w:rsidR="00584117" w:rsidRPr="00493AC6">
        <w:rPr>
          <w:rFonts w:ascii="Open Sans" w:eastAsia="Calibri" w:hAnsi="Open Sans" w:cs="Open Sans"/>
          <w:lang w:val="en-US"/>
        </w:rPr>
        <w:t>barriers survivors have to navigate when it comes to securing safe accommodation.</w:t>
      </w:r>
    </w:p>
    <w:p w14:paraId="2A20B304" w14:textId="77777777" w:rsidR="00E311D5" w:rsidRPr="00493AC6" w:rsidRDefault="00E311D5" w:rsidP="007E72F1">
      <w:pPr>
        <w:rPr>
          <w:rFonts w:ascii="Open Sans" w:eastAsia="Calibri" w:hAnsi="Open Sans" w:cs="Open Sans"/>
          <w:lang w:val="en-US"/>
        </w:rPr>
      </w:pPr>
    </w:p>
    <w:p w14:paraId="365AAFD9" w14:textId="77777777" w:rsidR="00450475" w:rsidRPr="00493AC6" w:rsidRDefault="00654187" w:rsidP="00343AB3">
      <w:pPr>
        <w:pStyle w:val="Heading3"/>
        <w:rPr>
          <w:iCs/>
        </w:rPr>
      </w:pPr>
      <w:r w:rsidRPr="00493AC6">
        <w:t>Working with survivors with NRPF</w:t>
      </w:r>
    </w:p>
    <w:p w14:paraId="5018F352" w14:textId="791DC133" w:rsidR="00A31E37" w:rsidRPr="00493AC6" w:rsidRDefault="00A31E37" w:rsidP="007E72F1">
      <w:pPr>
        <w:rPr>
          <w:rFonts w:ascii="Open Sans" w:eastAsia="Calibri" w:hAnsi="Open Sans" w:cs="Open Sans"/>
          <w:color w:val="262626" w:themeColor="text1"/>
          <w:lang w:val="en-US"/>
        </w:rPr>
      </w:pPr>
      <w:r w:rsidRPr="00493AC6">
        <w:rPr>
          <w:rFonts w:ascii="Open Sans" w:eastAsia="Calibri" w:hAnsi="Open Sans" w:cs="Open Sans"/>
          <w:color w:val="262626" w:themeColor="text1"/>
          <w:lang w:val="en-US"/>
        </w:rPr>
        <w:t>Priya talked about how difficult it can be when faced with a referral for a survivor who isn’t eligible for refuge because of NRPF. Although the practitioners will help any woman in her search for a refuge</w:t>
      </w:r>
      <w:r w:rsidR="004654CB" w:rsidRPr="00493AC6">
        <w:rPr>
          <w:rFonts w:ascii="Open Sans" w:eastAsia="Calibri" w:hAnsi="Open Sans" w:cs="Open Sans"/>
          <w:color w:val="262626" w:themeColor="text1"/>
          <w:lang w:val="en-US"/>
        </w:rPr>
        <w:t>, like any support worker</w:t>
      </w:r>
      <w:r w:rsidRPr="00493AC6">
        <w:rPr>
          <w:rFonts w:ascii="Open Sans" w:eastAsia="Calibri" w:hAnsi="Open Sans" w:cs="Open Sans"/>
          <w:color w:val="262626" w:themeColor="text1"/>
          <w:lang w:val="en-US"/>
        </w:rPr>
        <w:t xml:space="preserve"> they are still having to work around w</w:t>
      </w:r>
      <w:r w:rsidR="004654CB" w:rsidRPr="00493AC6">
        <w:rPr>
          <w:rFonts w:ascii="Open Sans" w:eastAsia="Calibri" w:hAnsi="Open Sans" w:cs="Open Sans"/>
          <w:color w:val="262626" w:themeColor="text1"/>
          <w:lang w:val="en-US"/>
        </w:rPr>
        <w:t xml:space="preserve">hat refuges are able to accept, and unfortunately if a survivor cannot get funding somehow, she </w:t>
      </w:r>
      <w:r w:rsidR="003A00D8" w:rsidRPr="00493AC6">
        <w:rPr>
          <w:rFonts w:ascii="Open Sans" w:eastAsia="Calibri" w:hAnsi="Open Sans" w:cs="Open Sans"/>
          <w:color w:val="262626" w:themeColor="text1"/>
          <w:lang w:val="en-US"/>
        </w:rPr>
        <w:t>is very unlikely</w:t>
      </w:r>
      <w:r w:rsidR="004654CB" w:rsidRPr="00493AC6">
        <w:rPr>
          <w:rFonts w:ascii="Open Sans" w:eastAsia="Calibri" w:hAnsi="Open Sans" w:cs="Open Sans"/>
          <w:color w:val="262626" w:themeColor="text1"/>
          <w:lang w:val="en-US"/>
        </w:rPr>
        <w:t xml:space="preserve"> be eligible for a refuge.</w:t>
      </w:r>
    </w:p>
    <w:p w14:paraId="683B624F" w14:textId="66BE081C" w:rsidR="00E4463C" w:rsidRPr="00493AC6" w:rsidRDefault="00095F00" w:rsidP="007E72F1">
      <w:pPr>
        <w:jc w:val="both"/>
        <w:rPr>
          <w:rFonts w:ascii="Open Sans" w:hAnsi="Open Sans" w:cs="Open Sans"/>
          <w:lang w:val="en-US"/>
        </w:rPr>
      </w:pPr>
      <w:r w:rsidRPr="00493AC6">
        <w:rPr>
          <w:rFonts w:ascii="Open Sans" w:hAnsi="Open Sans" w:cs="Open Sans"/>
          <w:lang w:val="en-US"/>
        </w:rPr>
        <w:t>“There's been almost like an assumption made that no woman turned away means that regardless of status they will go to refuge, where actually it's regardless of status they’d get our support to look for refuge</w:t>
      </w:r>
      <w:r w:rsidR="00E4463C" w:rsidRPr="00493AC6">
        <w:rPr>
          <w:rFonts w:ascii="Open Sans" w:hAnsi="Open Sans" w:cs="Open Sans"/>
          <w:lang w:val="en-US"/>
        </w:rPr>
        <w:t>.”</w:t>
      </w:r>
    </w:p>
    <w:p w14:paraId="234A0A7E" w14:textId="30A23249" w:rsidR="00AE2C29" w:rsidRPr="00493AC6" w:rsidRDefault="00AE2C29" w:rsidP="007E72F1">
      <w:pPr>
        <w:rPr>
          <w:rFonts w:ascii="Open Sans" w:hAnsi="Open Sans" w:cs="Open Sans"/>
          <w:lang w:val="en-US"/>
        </w:rPr>
      </w:pPr>
      <w:r w:rsidRPr="00493AC6">
        <w:rPr>
          <w:rFonts w:ascii="Open Sans" w:hAnsi="Open Sans" w:cs="Open Sans"/>
          <w:lang w:val="en-US"/>
        </w:rPr>
        <w:t xml:space="preserve">As most refuges rely on housing benefit to fund their services, they may refuse referrals from survivors who they incorrectly perceive as being ineligible for state benefits (Women’s Aid, 2021c). The NWTA </w:t>
      </w:r>
      <w:r w:rsidRPr="00493AC6">
        <w:rPr>
          <w:rFonts w:ascii="Open Sans" w:hAnsi="Open Sans" w:cs="Open Sans"/>
          <w:lang w:val="en-US"/>
        </w:rPr>
        <w:lastRenderedPageBreak/>
        <w:t>project are often able to meet the needs of survivors whose eligibility has been missed or overlooked previously.</w:t>
      </w:r>
    </w:p>
    <w:p w14:paraId="6CCB386B" w14:textId="1DBADB18" w:rsidR="00095F00" w:rsidRPr="00493AC6" w:rsidRDefault="00631C4D" w:rsidP="007E72F1">
      <w:pPr>
        <w:jc w:val="both"/>
        <w:rPr>
          <w:rFonts w:ascii="Open Sans" w:hAnsi="Open Sans" w:cs="Open Sans"/>
          <w:lang w:val="en-US"/>
        </w:rPr>
      </w:pPr>
      <w:r w:rsidRPr="00493AC6">
        <w:rPr>
          <w:rFonts w:ascii="Open Sans" w:hAnsi="Open Sans" w:cs="Open Sans"/>
          <w:lang w:val="en-US"/>
        </w:rPr>
        <w:t>“</w:t>
      </w:r>
      <w:r w:rsidR="00364568" w:rsidRPr="00493AC6">
        <w:rPr>
          <w:rFonts w:ascii="Open Sans" w:hAnsi="Open Sans" w:cs="Open Sans"/>
          <w:lang w:val="en-US"/>
        </w:rPr>
        <w:t>We've just ha</w:t>
      </w:r>
      <w:r w:rsidR="00095F00" w:rsidRPr="00493AC6">
        <w:rPr>
          <w:rFonts w:ascii="Open Sans" w:hAnsi="Open Sans" w:cs="Open Sans"/>
          <w:lang w:val="en-US"/>
        </w:rPr>
        <w:t>d that recently, so the refuge referred because she couldn’t, you know, they couldn't get her anywhere</w:t>
      </w:r>
      <w:r w:rsidR="00C0114F" w:rsidRPr="00493AC6">
        <w:rPr>
          <w:rFonts w:ascii="Open Sans" w:hAnsi="Open Sans" w:cs="Open Sans"/>
          <w:lang w:val="en-US"/>
        </w:rPr>
        <w:t xml:space="preserve"> [because]</w:t>
      </w:r>
      <w:r w:rsidR="00095F00" w:rsidRPr="00493AC6">
        <w:rPr>
          <w:rFonts w:ascii="Open Sans" w:hAnsi="Open Sans" w:cs="Open Sans"/>
          <w:lang w:val="en-US"/>
        </w:rPr>
        <w:t xml:space="preserve"> she wasn't eligible for </w:t>
      </w:r>
      <w:r w:rsidR="003A00D8" w:rsidRPr="00493AC6">
        <w:rPr>
          <w:rFonts w:ascii="Open Sans" w:hAnsi="Open Sans" w:cs="Open Sans"/>
          <w:lang w:val="en-US"/>
        </w:rPr>
        <w:t xml:space="preserve">[state benefits to pay for the housing costs of] </w:t>
      </w:r>
      <w:r w:rsidR="00095F00" w:rsidRPr="00493AC6">
        <w:rPr>
          <w:rFonts w:ascii="Open Sans" w:hAnsi="Open Sans" w:cs="Open Sans"/>
          <w:lang w:val="en-US"/>
        </w:rPr>
        <w:t>refuge, but if she's not eligible</w:t>
      </w:r>
      <w:r w:rsidRPr="00493AC6">
        <w:rPr>
          <w:rFonts w:ascii="Open Sans" w:hAnsi="Open Sans" w:cs="Open Sans"/>
          <w:lang w:val="en-US"/>
        </w:rPr>
        <w:t xml:space="preserve"> for </w:t>
      </w:r>
      <w:r w:rsidR="003A00D8" w:rsidRPr="00493AC6">
        <w:rPr>
          <w:rFonts w:ascii="Open Sans" w:hAnsi="Open Sans" w:cs="Open Sans"/>
          <w:lang w:val="en-US"/>
        </w:rPr>
        <w:t xml:space="preserve">[state benefits] </w:t>
      </w:r>
      <w:r w:rsidRPr="00493AC6">
        <w:rPr>
          <w:rFonts w:ascii="Open Sans" w:hAnsi="Open Sans" w:cs="Open Sans"/>
          <w:lang w:val="en-US"/>
        </w:rPr>
        <w:t>we</w:t>
      </w:r>
      <w:r w:rsidR="00095F00" w:rsidRPr="00493AC6">
        <w:rPr>
          <w:rFonts w:ascii="Open Sans" w:hAnsi="Open Sans" w:cs="Open Sans"/>
          <w:lang w:val="en-US"/>
        </w:rPr>
        <w:t xml:space="preserve"> wouldn't be able to change those circumstances. The problem was that they didn't actually really check the eligibilit</w:t>
      </w:r>
      <w:r w:rsidRPr="00493AC6">
        <w:rPr>
          <w:rFonts w:ascii="Open Sans" w:hAnsi="Open Sans" w:cs="Open Sans"/>
          <w:lang w:val="en-US"/>
        </w:rPr>
        <w:t xml:space="preserve">y </w:t>
      </w:r>
      <w:r w:rsidR="003A00D8" w:rsidRPr="00493AC6">
        <w:rPr>
          <w:rFonts w:ascii="Open Sans" w:hAnsi="Open Sans" w:cs="Open Sans"/>
          <w:lang w:val="en-US"/>
        </w:rPr>
        <w:t xml:space="preserve">[for state benefits] </w:t>
      </w:r>
      <w:r w:rsidRPr="00493AC6">
        <w:rPr>
          <w:rFonts w:ascii="Open Sans" w:hAnsi="Open Sans" w:cs="Open Sans"/>
          <w:lang w:val="en-US"/>
        </w:rPr>
        <w:t>to begin with and that'</w:t>
      </w:r>
      <w:r w:rsidR="00095F00" w:rsidRPr="00493AC6">
        <w:rPr>
          <w:rFonts w:ascii="Open Sans" w:hAnsi="Open Sans" w:cs="Open Sans"/>
          <w:lang w:val="en-US"/>
        </w:rPr>
        <w:t>s what's happ</w:t>
      </w:r>
      <w:r w:rsidRPr="00493AC6">
        <w:rPr>
          <w:rFonts w:ascii="Open Sans" w:hAnsi="Open Sans" w:cs="Open Sans"/>
          <w:lang w:val="en-US"/>
        </w:rPr>
        <w:t>ened […]</w:t>
      </w:r>
      <w:r w:rsidR="00095F00" w:rsidRPr="00493AC6">
        <w:rPr>
          <w:rFonts w:ascii="Open Sans" w:hAnsi="Open Sans" w:cs="Open Sans"/>
          <w:lang w:val="en-US"/>
        </w:rPr>
        <w:t xml:space="preserve"> where a straightforward referral a woman could get into refuge within a week or two, it actually took, you know, weeks to months because we had to kind of start right from the very beginning.</w:t>
      </w:r>
      <w:r w:rsidRPr="00493AC6">
        <w:rPr>
          <w:rFonts w:ascii="Open Sans" w:hAnsi="Open Sans" w:cs="Open Sans"/>
          <w:lang w:val="en-US"/>
        </w:rPr>
        <w:t>”</w:t>
      </w:r>
    </w:p>
    <w:p w14:paraId="4B40523D" w14:textId="77777777" w:rsidR="00CB6BF9" w:rsidRPr="00493AC6" w:rsidRDefault="00631C4D" w:rsidP="007E72F1">
      <w:pPr>
        <w:rPr>
          <w:rFonts w:ascii="Open Sans" w:hAnsi="Open Sans" w:cs="Open Sans"/>
          <w:lang w:val="en-US"/>
        </w:rPr>
      </w:pPr>
      <w:r w:rsidRPr="00493AC6">
        <w:rPr>
          <w:rFonts w:ascii="Open Sans" w:hAnsi="Open Sans" w:cs="Open Sans"/>
          <w:lang w:val="en-US"/>
        </w:rPr>
        <w:t>G</w:t>
      </w:r>
      <w:r w:rsidR="00E24849" w:rsidRPr="00493AC6">
        <w:rPr>
          <w:rFonts w:ascii="Open Sans" w:hAnsi="Open Sans" w:cs="Open Sans"/>
          <w:lang w:val="en-US"/>
        </w:rPr>
        <w:t>iven that refuge services</w:t>
      </w:r>
      <w:r w:rsidR="004C5F21" w:rsidRPr="00493AC6">
        <w:rPr>
          <w:rFonts w:ascii="Open Sans" w:hAnsi="Open Sans" w:cs="Open Sans"/>
          <w:lang w:val="en-US"/>
        </w:rPr>
        <w:t xml:space="preserve"> often</w:t>
      </w:r>
      <w:r w:rsidR="0012319D" w:rsidRPr="00493AC6">
        <w:rPr>
          <w:rFonts w:ascii="Open Sans" w:hAnsi="Open Sans" w:cs="Open Sans"/>
          <w:lang w:val="en-US"/>
        </w:rPr>
        <w:t xml:space="preserve"> have to</w:t>
      </w:r>
      <w:r w:rsidR="00E24849" w:rsidRPr="00493AC6">
        <w:rPr>
          <w:rFonts w:ascii="Open Sans" w:hAnsi="Open Sans" w:cs="Open Sans"/>
          <w:lang w:val="en-US"/>
        </w:rPr>
        <w:t xml:space="preserve"> turn</w:t>
      </w:r>
      <w:r w:rsidRPr="00493AC6">
        <w:rPr>
          <w:rFonts w:ascii="Open Sans" w:hAnsi="Open Sans" w:cs="Open Sans"/>
          <w:lang w:val="en-US"/>
        </w:rPr>
        <w:t xml:space="preserve"> away </w:t>
      </w:r>
      <w:r w:rsidR="0012319D" w:rsidRPr="00493AC6">
        <w:rPr>
          <w:rFonts w:ascii="Open Sans" w:hAnsi="Open Sans" w:cs="Open Sans"/>
          <w:lang w:val="en-US"/>
        </w:rPr>
        <w:t xml:space="preserve">referrals </w:t>
      </w:r>
      <w:r w:rsidRPr="00493AC6">
        <w:rPr>
          <w:rFonts w:ascii="Open Sans" w:hAnsi="Open Sans" w:cs="Open Sans"/>
          <w:lang w:val="en-US"/>
        </w:rPr>
        <w:t xml:space="preserve">on the basis of limited space or capacity (Women’s Aid, 2022b), it </w:t>
      </w:r>
      <w:r w:rsidR="004C5370" w:rsidRPr="00493AC6">
        <w:rPr>
          <w:rFonts w:ascii="Open Sans" w:hAnsi="Open Sans" w:cs="Open Sans"/>
          <w:lang w:val="en-US"/>
        </w:rPr>
        <w:t xml:space="preserve">is understandable that they would not have the resources to provide the weeks to months of support that the NWTA project was able to in order to ascertain this survivor’s eligibility </w:t>
      </w:r>
      <w:r w:rsidR="001370B5" w:rsidRPr="00493AC6">
        <w:rPr>
          <w:rFonts w:ascii="Open Sans" w:hAnsi="Open Sans" w:cs="Open Sans"/>
          <w:lang w:val="en-US"/>
        </w:rPr>
        <w:t>for public funds.</w:t>
      </w:r>
    </w:p>
    <w:p w14:paraId="7D9FC141" w14:textId="7F51F4C2" w:rsidR="00984E73" w:rsidRPr="00493AC6" w:rsidRDefault="004C5370" w:rsidP="007E72F1">
      <w:pPr>
        <w:rPr>
          <w:rFonts w:ascii="Open Sans" w:hAnsi="Open Sans" w:cs="Open Sans"/>
          <w:lang w:val="en-US"/>
        </w:rPr>
      </w:pPr>
      <w:r w:rsidRPr="00493AC6">
        <w:rPr>
          <w:rFonts w:ascii="Open Sans" w:hAnsi="Open Sans" w:cs="Open Sans"/>
          <w:lang w:val="en-US"/>
        </w:rPr>
        <w:t xml:space="preserve">Cases like </w:t>
      </w:r>
      <w:r w:rsidR="00E25B06" w:rsidRPr="00493AC6">
        <w:rPr>
          <w:rFonts w:ascii="Open Sans" w:hAnsi="Open Sans" w:cs="Open Sans"/>
          <w:lang w:val="en-US"/>
        </w:rPr>
        <w:t>these help</w:t>
      </w:r>
      <w:r w:rsidRPr="00493AC6">
        <w:rPr>
          <w:rFonts w:ascii="Open Sans" w:hAnsi="Open Sans" w:cs="Open Sans"/>
          <w:lang w:val="en-US"/>
        </w:rPr>
        <w:t xml:space="preserve"> to </w:t>
      </w:r>
      <w:r w:rsidR="00FB5006" w:rsidRPr="00493AC6">
        <w:rPr>
          <w:rFonts w:ascii="Open Sans" w:hAnsi="Open Sans" w:cs="Open Sans"/>
          <w:lang w:val="en-US"/>
        </w:rPr>
        <w:t xml:space="preserve">explain the increase in the amount of time that the NWTA practitioners are spending supporting women with </w:t>
      </w:r>
      <w:r w:rsidR="00E25B06" w:rsidRPr="00493AC6">
        <w:rPr>
          <w:rFonts w:ascii="Open Sans" w:hAnsi="Open Sans" w:cs="Open Sans"/>
          <w:lang w:val="en-US"/>
        </w:rPr>
        <w:t xml:space="preserve">issues </w:t>
      </w:r>
      <w:r w:rsidR="00FB5006" w:rsidRPr="00493AC6">
        <w:rPr>
          <w:rFonts w:ascii="Open Sans" w:hAnsi="Open Sans" w:cs="Open Sans"/>
          <w:lang w:val="en-US"/>
        </w:rPr>
        <w:t xml:space="preserve">like </w:t>
      </w:r>
      <w:r w:rsidR="003A00D8" w:rsidRPr="00493AC6">
        <w:rPr>
          <w:rFonts w:ascii="Open Sans" w:hAnsi="Open Sans" w:cs="Open Sans"/>
          <w:lang w:val="en-US"/>
        </w:rPr>
        <w:t>i</w:t>
      </w:r>
      <w:r w:rsidR="003365AB" w:rsidRPr="00493AC6">
        <w:rPr>
          <w:rFonts w:ascii="Open Sans" w:hAnsi="Open Sans" w:cs="Open Sans"/>
          <w:lang w:val="en-US"/>
        </w:rPr>
        <w:t>mmigration</w:t>
      </w:r>
      <w:r w:rsidR="00E25B06" w:rsidRPr="00493AC6">
        <w:rPr>
          <w:rFonts w:ascii="Open Sans" w:hAnsi="Open Sans" w:cs="Open Sans"/>
          <w:lang w:val="en-US"/>
        </w:rPr>
        <w:t xml:space="preserve"> as</w:t>
      </w:r>
      <w:r w:rsidR="003365AB" w:rsidRPr="00493AC6">
        <w:rPr>
          <w:rFonts w:ascii="Open Sans" w:hAnsi="Open Sans" w:cs="Open Sans"/>
          <w:lang w:val="en-US"/>
        </w:rPr>
        <w:t xml:space="preserve"> well as the average case length being five days higher on average for survivors referred on the basis of NRPF. Also, o</w:t>
      </w:r>
      <w:r w:rsidRPr="00493AC6">
        <w:rPr>
          <w:rFonts w:ascii="Open Sans" w:hAnsi="Open Sans" w:cs="Open Sans"/>
          <w:lang w:val="en-US"/>
        </w:rPr>
        <w:t xml:space="preserve">btaining the correct immigration/ benefits advice can involve waiting on another </w:t>
      </w:r>
      <w:r w:rsidR="003A00D8" w:rsidRPr="00493AC6">
        <w:rPr>
          <w:rFonts w:ascii="Open Sans" w:hAnsi="Open Sans" w:cs="Open Sans"/>
          <w:lang w:val="en-US"/>
        </w:rPr>
        <w:t xml:space="preserve">busy </w:t>
      </w:r>
      <w:r w:rsidRPr="00493AC6">
        <w:rPr>
          <w:rFonts w:ascii="Open Sans" w:hAnsi="Open Sans" w:cs="Open Sans"/>
          <w:lang w:val="en-US"/>
        </w:rPr>
        <w:t xml:space="preserve">professional </w:t>
      </w:r>
      <w:r w:rsidR="00E26BED" w:rsidRPr="00493AC6">
        <w:rPr>
          <w:rFonts w:ascii="Open Sans" w:hAnsi="Open Sans" w:cs="Open Sans"/>
          <w:lang w:val="en-US"/>
        </w:rPr>
        <w:t>to respond to these queries.</w:t>
      </w:r>
      <w:r w:rsidR="00E96AD3" w:rsidRPr="00493AC6">
        <w:rPr>
          <w:rFonts w:ascii="Open Sans" w:hAnsi="Open Sans" w:cs="Open Sans"/>
          <w:lang w:val="en-US"/>
        </w:rPr>
        <w:t xml:space="preserve"> </w:t>
      </w:r>
    </w:p>
    <w:p w14:paraId="0627A4DA" w14:textId="77777777" w:rsidR="00493AC6" w:rsidRPr="00493AC6" w:rsidRDefault="00493AC6" w:rsidP="007E72F1">
      <w:pPr>
        <w:rPr>
          <w:rFonts w:ascii="Open Sans" w:hAnsi="Open Sans" w:cs="Open Sans"/>
          <w:lang w:val="en-US"/>
        </w:rPr>
      </w:pPr>
    </w:p>
    <w:p w14:paraId="74C5C54F" w14:textId="77777777" w:rsidR="00F27F46" w:rsidRPr="00493AC6" w:rsidRDefault="00F27F46" w:rsidP="00343AB3">
      <w:pPr>
        <w:pStyle w:val="Heading3"/>
        <w:rPr>
          <w:iCs/>
          <w:lang w:val="en-US"/>
        </w:rPr>
      </w:pPr>
      <w:r w:rsidRPr="00493AC6">
        <w:rPr>
          <w:lang w:val="en-US"/>
        </w:rPr>
        <w:t>The impact on survivors</w:t>
      </w:r>
    </w:p>
    <w:p w14:paraId="622F5AB6" w14:textId="77777777" w:rsidR="00F27F46" w:rsidRPr="00493AC6" w:rsidRDefault="00F27F46" w:rsidP="007E72F1">
      <w:pPr>
        <w:rPr>
          <w:rFonts w:ascii="Open Sans" w:hAnsi="Open Sans" w:cs="Open Sans"/>
          <w:lang w:val="en-US"/>
        </w:rPr>
      </w:pPr>
      <w:r w:rsidRPr="00493AC6">
        <w:rPr>
          <w:rFonts w:ascii="Open Sans" w:hAnsi="Open Sans" w:cs="Open Sans"/>
          <w:lang w:val="en-US"/>
        </w:rPr>
        <w:t>When asked about the impact on survivors who are referred to the NWTA project who have been incorrectly turned away on the basis of NRPF, Priya talked about how hard it could be to re-engage these women.</w:t>
      </w:r>
    </w:p>
    <w:p w14:paraId="4DB7F16D" w14:textId="7ADE46DF" w:rsidR="00F27F46" w:rsidRPr="00493AC6" w:rsidRDefault="00F27F46" w:rsidP="007E72F1">
      <w:pPr>
        <w:jc w:val="both"/>
        <w:rPr>
          <w:rFonts w:ascii="Open Sans" w:hAnsi="Open Sans" w:cs="Open Sans"/>
          <w:lang w:val="en-US"/>
        </w:rPr>
      </w:pPr>
      <w:r w:rsidRPr="00493AC6">
        <w:rPr>
          <w:rFonts w:ascii="Open Sans" w:hAnsi="Open Sans" w:cs="Open Sans"/>
          <w:lang w:val="en-US"/>
        </w:rPr>
        <w:t>“There's a massive emotional impact on these women, you know, they're initially told you know there's loads of support available for you, and then one by one the doors keep closing, and that's something a woman said to me recently, you know, ‘how do I know that you would actually be able to support me? Because everybody else has said no.’ So, you know we're having to like build that trust again and reassure them that actually our support is, you know, honest […] so that's something really tricky to manage on our part, because how can we offer this reassurance to somebody when clearly there's a massive distrust in services and that's valid?”</w:t>
      </w:r>
    </w:p>
    <w:p w14:paraId="3C51D026" w14:textId="77777777" w:rsidR="00493AC6" w:rsidRPr="00493AC6" w:rsidRDefault="00493AC6" w:rsidP="007E72F1">
      <w:pPr>
        <w:jc w:val="both"/>
        <w:rPr>
          <w:rFonts w:ascii="Open Sans" w:hAnsi="Open Sans" w:cs="Open Sans"/>
          <w:lang w:val="en-US"/>
        </w:rPr>
      </w:pPr>
    </w:p>
    <w:p w14:paraId="24B5BF5C" w14:textId="77777777" w:rsidR="004C5370" w:rsidRPr="00493AC6" w:rsidRDefault="004C5370" w:rsidP="00343AB3">
      <w:pPr>
        <w:pStyle w:val="Heading3"/>
        <w:rPr>
          <w:iCs/>
          <w:lang w:val="en-US"/>
        </w:rPr>
      </w:pPr>
      <w:r w:rsidRPr="00493AC6">
        <w:rPr>
          <w:lang w:val="en-US"/>
        </w:rPr>
        <w:t>Statutory services and NRPF</w:t>
      </w:r>
    </w:p>
    <w:p w14:paraId="6B7B0150" w14:textId="795673CB" w:rsidR="00D7254A" w:rsidRPr="00493AC6" w:rsidRDefault="00D7254A" w:rsidP="007E72F1">
      <w:pPr>
        <w:rPr>
          <w:rFonts w:ascii="Open Sans" w:hAnsi="Open Sans" w:cs="Open Sans"/>
          <w:lang w:val="en-US"/>
        </w:rPr>
      </w:pPr>
      <w:r w:rsidRPr="00493AC6">
        <w:rPr>
          <w:rFonts w:ascii="Open Sans" w:hAnsi="Open Sans" w:cs="Open Sans"/>
          <w:lang w:val="en-US"/>
        </w:rPr>
        <w:t>Much like the immigration advisor we spoke to, Cassie (her interview is detailed on page</w:t>
      </w:r>
      <w:r w:rsidR="008339E6">
        <w:rPr>
          <w:rFonts w:ascii="Open Sans" w:hAnsi="Open Sans" w:cs="Open Sans"/>
          <w:lang w:val="en-US"/>
        </w:rPr>
        <w:t xml:space="preserve"> 31</w:t>
      </w:r>
      <w:r w:rsidR="00402AC8" w:rsidRPr="00493AC6">
        <w:rPr>
          <w:rFonts w:ascii="Open Sans" w:hAnsi="Open Sans" w:cs="Open Sans"/>
          <w:lang w:val="en-US"/>
        </w:rPr>
        <w:t xml:space="preserve">), </w:t>
      </w:r>
      <w:r w:rsidRPr="00493AC6">
        <w:rPr>
          <w:rFonts w:ascii="Open Sans" w:hAnsi="Open Sans" w:cs="Open Sans"/>
          <w:lang w:val="en-US"/>
        </w:rPr>
        <w:t xml:space="preserve">Priya also has experience of local authorities </w:t>
      </w:r>
      <w:r w:rsidR="002C1DD6" w:rsidRPr="00493AC6">
        <w:rPr>
          <w:rFonts w:ascii="Open Sans" w:hAnsi="Open Sans" w:cs="Open Sans"/>
          <w:lang w:val="en-US"/>
        </w:rPr>
        <w:t xml:space="preserve">evading </w:t>
      </w:r>
      <w:r w:rsidRPr="00493AC6">
        <w:rPr>
          <w:rFonts w:ascii="Open Sans" w:hAnsi="Open Sans" w:cs="Open Sans"/>
          <w:lang w:val="en-US"/>
        </w:rPr>
        <w:t xml:space="preserve">their duty to support women and children. </w:t>
      </w:r>
      <w:r w:rsidR="00402AC8" w:rsidRPr="00493AC6">
        <w:rPr>
          <w:rFonts w:ascii="Open Sans" w:hAnsi="Open Sans" w:cs="Open Sans"/>
          <w:lang w:val="en-US"/>
        </w:rPr>
        <w:t>Priya gave the example of local authorities</w:t>
      </w:r>
      <w:r w:rsidRPr="00493AC6">
        <w:rPr>
          <w:rFonts w:ascii="Open Sans" w:hAnsi="Open Sans" w:cs="Open Sans"/>
          <w:lang w:val="en-US"/>
        </w:rPr>
        <w:t xml:space="preserve"> agreeing to fund </w:t>
      </w:r>
      <w:r w:rsidR="00240AD8" w:rsidRPr="00493AC6">
        <w:rPr>
          <w:rFonts w:ascii="Open Sans" w:hAnsi="Open Sans" w:cs="Open Sans"/>
          <w:lang w:val="en-US"/>
        </w:rPr>
        <w:t xml:space="preserve">accommodation costs </w:t>
      </w:r>
      <w:r w:rsidR="00AC521C" w:rsidRPr="00493AC6">
        <w:rPr>
          <w:rFonts w:ascii="Open Sans" w:hAnsi="Open Sans" w:cs="Open Sans"/>
          <w:lang w:val="en-US"/>
        </w:rPr>
        <w:t>for</w:t>
      </w:r>
      <w:r w:rsidR="00240AD8" w:rsidRPr="00493AC6">
        <w:rPr>
          <w:rFonts w:ascii="Open Sans" w:hAnsi="Open Sans" w:cs="Open Sans"/>
          <w:lang w:val="en-US"/>
        </w:rPr>
        <w:t xml:space="preserve"> a refuge </w:t>
      </w:r>
      <w:r w:rsidR="00AC521C" w:rsidRPr="00493AC6">
        <w:rPr>
          <w:rFonts w:ascii="Open Sans" w:hAnsi="Open Sans" w:cs="Open Sans"/>
          <w:lang w:val="en-US"/>
        </w:rPr>
        <w:t>space for a survivor with NRPF</w:t>
      </w:r>
      <w:r w:rsidR="00240AD8" w:rsidRPr="00493AC6">
        <w:rPr>
          <w:rFonts w:ascii="Open Sans" w:hAnsi="Open Sans" w:cs="Open Sans"/>
          <w:lang w:val="en-US"/>
        </w:rPr>
        <w:t xml:space="preserve"> </w:t>
      </w:r>
      <w:r w:rsidRPr="00493AC6">
        <w:rPr>
          <w:rFonts w:ascii="Open Sans" w:hAnsi="Open Sans" w:cs="Open Sans"/>
          <w:lang w:val="en-US"/>
        </w:rPr>
        <w:t xml:space="preserve">for </w:t>
      </w:r>
      <w:r w:rsidR="00402AC8" w:rsidRPr="00493AC6">
        <w:rPr>
          <w:rFonts w:ascii="Open Sans" w:hAnsi="Open Sans" w:cs="Open Sans"/>
          <w:lang w:val="en-US"/>
        </w:rPr>
        <w:t xml:space="preserve">only </w:t>
      </w:r>
      <w:r w:rsidRPr="00493AC6">
        <w:rPr>
          <w:rFonts w:ascii="Open Sans" w:hAnsi="Open Sans" w:cs="Open Sans"/>
          <w:lang w:val="en-US"/>
        </w:rPr>
        <w:t xml:space="preserve">three months. </w:t>
      </w:r>
      <w:r w:rsidRPr="00493AC6">
        <w:rPr>
          <w:rFonts w:ascii="Open Sans" w:hAnsi="Open Sans" w:cs="Open Sans"/>
          <w:lang w:val="en-US"/>
        </w:rPr>
        <w:lastRenderedPageBreak/>
        <w:t xml:space="preserve">This is a problem because most refuge placements are six months, and therefore </w:t>
      </w:r>
      <w:r w:rsidR="00402AC8" w:rsidRPr="00493AC6">
        <w:rPr>
          <w:rFonts w:ascii="Open Sans" w:hAnsi="Open Sans" w:cs="Open Sans"/>
          <w:lang w:val="en-US"/>
        </w:rPr>
        <w:t xml:space="preserve">refuges </w:t>
      </w:r>
      <w:r w:rsidRPr="00493AC6">
        <w:rPr>
          <w:rFonts w:ascii="Open Sans" w:hAnsi="Open Sans" w:cs="Open Sans"/>
          <w:lang w:val="en-US"/>
        </w:rPr>
        <w:t xml:space="preserve">are reluctant to accept survivors when they may have no choice but to refer them elsewhere after three months. </w:t>
      </w:r>
    </w:p>
    <w:p w14:paraId="00050588" w14:textId="77777777" w:rsidR="00D7254A" w:rsidRPr="00493AC6" w:rsidRDefault="00D7254A" w:rsidP="007E72F1">
      <w:pPr>
        <w:jc w:val="both"/>
        <w:rPr>
          <w:rFonts w:ascii="Open Sans" w:hAnsi="Open Sans" w:cs="Open Sans"/>
          <w:lang w:val="en-US"/>
        </w:rPr>
      </w:pPr>
      <w:r w:rsidRPr="00493AC6">
        <w:rPr>
          <w:rFonts w:ascii="Open Sans" w:hAnsi="Open Sans" w:cs="Open Sans"/>
          <w:lang w:val="en-US"/>
        </w:rPr>
        <w:t>“They are reluctant to fund anyway, and then even when they do agree, it's only for three months. Some refuges have said, ‘but this is a six-month placement, so what we do in three months?’ Then the children services have said, ‘well, it's three months or nothing,’ and then we're just back to where we started […] that conversation happened with a number of refuges, children services [saying the same thing] to each refuge, every time three months.”</w:t>
      </w:r>
    </w:p>
    <w:p w14:paraId="5BB1DA0B" w14:textId="77777777" w:rsidR="00C0361C" w:rsidRPr="00493AC6" w:rsidRDefault="00C0361C" w:rsidP="007E72F1">
      <w:pPr>
        <w:rPr>
          <w:rFonts w:ascii="Open Sans" w:hAnsi="Open Sans" w:cs="Open Sans"/>
          <w:lang w:val="en-US"/>
        </w:rPr>
      </w:pPr>
      <w:r w:rsidRPr="00493AC6">
        <w:rPr>
          <w:rFonts w:ascii="Open Sans" w:hAnsi="Open Sans" w:cs="Open Sans"/>
          <w:lang w:val="en-US"/>
        </w:rPr>
        <w:t xml:space="preserve">Priya spoke of a particular example when it seemed that social services were deliberately </w:t>
      </w:r>
      <w:r w:rsidR="002C1DD6" w:rsidRPr="00493AC6">
        <w:rPr>
          <w:rFonts w:ascii="Open Sans" w:hAnsi="Open Sans" w:cs="Open Sans"/>
          <w:lang w:val="en-US"/>
        </w:rPr>
        <w:t>avoiding</w:t>
      </w:r>
      <w:r w:rsidRPr="00493AC6">
        <w:rPr>
          <w:rFonts w:ascii="Open Sans" w:hAnsi="Open Sans" w:cs="Open Sans"/>
          <w:lang w:val="en-US"/>
        </w:rPr>
        <w:t xml:space="preserve"> their responsibility to </w:t>
      </w:r>
      <w:r w:rsidR="0008177A" w:rsidRPr="00493AC6">
        <w:rPr>
          <w:rFonts w:ascii="Open Sans" w:hAnsi="Open Sans" w:cs="Open Sans"/>
          <w:lang w:val="en-US"/>
        </w:rPr>
        <w:t>fund refuge accommodation costs for</w:t>
      </w:r>
      <w:r w:rsidRPr="00493AC6">
        <w:rPr>
          <w:rFonts w:ascii="Open Sans" w:hAnsi="Open Sans" w:cs="Open Sans"/>
          <w:lang w:val="en-US"/>
        </w:rPr>
        <w:t xml:space="preserve"> </w:t>
      </w:r>
      <w:r w:rsidR="002C1DD6" w:rsidRPr="00493AC6">
        <w:rPr>
          <w:rFonts w:ascii="Open Sans" w:hAnsi="Open Sans" w:cs="Open Sans"/>
          <w:lang w:val="en-US"/>
        </w:rPr>
        <w:t xml:space="preserve">a </w:t>
      </w:r>
      <w:r w:rsidR="00402AC8" w:rsidRPr="00493AC6">
        <w:rPr>
          <w:rFonts w:ascii="Open Sans" w:hAnsi="Open Sans" w:cs="Open Sans"/>
          <w:lang w:val="en-US"/>
        </w:rPr>
        <w:t xml:space="preserve">woman </w:t>
      </w:r>
      <w:r w:rsidR="0008177A" w:rsidRPr="00493AC6">
        <w:rPr>
          <w:rFonts w:ascii="Open Sans" w:hAnsi="Open Sans" w:cs="Open Sans"/>
          <w:lang w:val="en-US"/>
        </w:rPr>
        <w:t>and her child,</w:t>
      </w:r>
      <w:r w:rsidR="002C1DD6" w:rsidRPr="00493AC6">
        <w:rPr>
          <w:rFonts w:ascii="Open Sans" w:hAnsi="Open Sans" w:cs="Open Sans"/>
          <w:lang w:val="en-US"/>
        </w:rPr>
        <w:t xml:space="preserve"> </w:t>
      </w:r>
      <w:r w:rsidRPr="00493AC6">
        <w:rPr>
          <w:rFonts w:ascii="Open Sans" w:hAnsi="Open Sans" w:cs="Open Sans"/>
          <w:lang w:val="en-US"/>
        </w:rPr>
        <w:t>hoping that NWTA would find her to be eligible for benefits</w:t>
      </w:r>
      <w:r w:rsidR="002C1DD6" w:rsidRPr="00493AC6">
        <w:rPr>
          <w:rFonts w:ascii="Open Sans" w:hAnsi="Open Sans" w:cs="Open Sans"/>
          <w:lang w:val="en-US"/>
        </w:rPr>
        <w:t xml:space="preserve"> before they had to do so.</w:t>
      </w:r>
    </w:p>
    <w:p w14:paraId="5106B535" w14:textId="77777777" w:rsidR="00C0361C" w:rsidRPr="00493AC6" w:rsidRDefault="00C0361C" w:rsidP="007E72F1">
      <w:pPr>
        <w:rPr>
          <w:rFonts w:ascii="Open Sans" w:hAnsi="Open Sans" w:cs="Open Sans"/>
          <w:lang w:val="en-US"/>
        </w:rPr>
      </w:pPr>
      <w:r w:rsidRPr="00493AC6">
        <w:rPr>
          <w:rFonts w:ascii="Open Sans" w:hAnsi="Open Sans" w:cs="Open Sans"/>
          <w:lang w:val="en-US"/>
        </w:rPr>
        <w:t>“They didn't refuse, but they were reluctant to fund her because I said she might be eligible</w:t>
      </w:r>
      <w:r w:rsidR="00F7071A" w:rsidRPr="00493AC6">
        <w:rPr>
          <w:rFonts w:ascii="Open Sans" w:hAnsi="Open Sans" w:cs="Open Sans"/>
          <w:lang w:val="en-US"/>
        </w:rPr>
        <w:t xml:space="preserve"> [for state benefits]</w:t>
      </w:r>
      <w:r w:rsidRPr="00493AC6">
        <w:rPr>
          <w:rFonts w:ascii="Open Sans" w:hAnsi="Open Sans" w:cs="Open Sans"/>
          <w:lang w:val="en-US"/>
        </w:rPr>
        <w:t>, and so they clung on to that might be eligible kept it going, going, going, which is obviously taking weeks, and the minute we get the approval for Universal Credit, it's like, ‘yes, great. OK. Off you go to refuge.’”</w:t>
      </w:r>
    </w:p>
    <w:p w14:paraId="09629876" w14:textId="16876934" w:rsidR="00E16785" w:rsidRPr="00493AC6" w:rsidRDefault="00750A1A" w:rsidP="007E72F1">
      <w:pPr>
        <w:rPr>
          <w:rFonts w:ascii="Open Sans" w:hAnsi="Open Sans" w:cs="Open Sans"/>
          <w:lang w:val="en-US"/>
        </w:rPr>
      </w:pPr>
      <w:r w:rsidRPr="00493AC6">
        <w:rPr>
          <w:rFonts w:ascii="Open Sans" w:hAnsi="Open Sans" w:cs="Open Sans"/>
          <w:lang w:val="en-US"/>
        </w:rPr>
        <w:t xml:space="preserve">This left this particular </w:t>
      </w:r>
      <w:r w:rsidR="00F7071A" w:rsidRPr="00493AC6">
        <w:rPr>
          <w:rFonts w:ascii="Open Sans" w:hAnsi="Open Sans" w:cs="Open Sans"/>
          <w:lang w:val="en-US"/>
        </w:rPr>
        <w:t>child-survivor</w:t>
      </w:r>
      <w:r w:rsidRPr="00493AC6">
        <w:rPr>
          <w:rFonts w:ascii="Open Sans" w:hAnsi="Open Sans" w:cs="Open Sans"/>
          <w:lang w:val="en-US"/>
        </w:rPr>
        <w:t xml:space="preserve"> without access to education</w:t>
      </w:r>
      <w:r w:rsidR="00D66FB0" w:rsidRPr="00493AC6">
        <w:rPr>
          <w:rFonts w:ascii="Open Sans" w:hAnsi="Open Sans" w:cs="Open Sans"/>
          <w:lang w:val="en-US"/>
        </w:rPr>
        <w:t xml:space="preserve"> </w:t>
      </w:r>
      <w:r w:rsidR="000E0015" w:rsidRPr="00493AC6">
        <w:rPr>
          <w:rFonts w:ascii="Open Sans" w:hAnsi="Open Sans" w:cs="Open Sans"/>
          <w:lang w:val="en-US"/>
        </w:rPr>
        <w:t>whilst waiting</w:t>
      </w:r>
      <w:r w:rsidR="00D66FB0" w:rsidRPr="00493AC6">
        <w:rPr>
          <w:rFonts w:ascii="Open Sans" w:hAnsi="Open Sans" w:cs="Open Sans"/>
          <w:lang w:val="en-US"/>
        </w:rPr>
        <w:t xml:space="preserve"> for refuge accommodation. As soon as </w:t>
      </w:r>
      <w:r w:rsidR="000E0015" w:rsidRPr="00493AC6">
        <w:rPr>
          <w:rFonts w:ascii="Open Sans" w:hAnsi="Open Sans" w:cs="Open Sans"/>
          <w:lang w:val="en-US"/>
        </w:rPr>
        <w:t>they were accommodated, they were supported to find a school.</w:t>
      </w:r>
    </w:p>
    <w:p w14:paraId="267F910E" w14:textId="77777777" w:rsidR="00194A11" w:rsidRPr="00493AC6" w:rsidRDefault="00163931" w:rsidP="007E72F1">
      <w:pPr>
        <w:jc w:val="both"/>
        <w:rPr>
          <w:rFonts w:ascii="Open Sans" w:hAnsi="Open Sans" w:cs="Open Sans"/>
          <w:lang w:val="en-US"/>
        </w:rPr>
      </w:pPr>
      <w:r w:rsidRPr="00493AC6">
        <w:rPr>
          <w:rFonts w:ascii="Open Sans" w:hAnsi="Open Sans" w:cs="Open Sans"/>
          <w:lang w:val="en-US"/>
        </w:rPr>
        <w:lastRenderedPageBreak/>
        <w:t xml:space="preserve">“She </w:t>
      </w:r>
      <w:r w:rsidR="00194A11" w:rsidRPr="00493AC6">
        <w:rPr>
          <w:rFonts w:ascii="Open Sans" w:hAnsi="Open Sans" w:cs="Open Sans"/>
          <w:lang w:val="en-US"/>
        </w:rPr>
        <w:t>kept trying to get h</w:t>
      </w:r>
      <w:r w:rsidRPr="00493AC6">
        <w:rPr>
          <w:rFonts w:ascii="Open Sans" w:hAnsi="Open Sans" w:cs="Open Sans"/>
          <w:lang w:val="en-US"/>
        </w:rPr>
        <w:t>er [child]</w:t>
      </w:r>
      <w:r w:rsidR="00194A11" w:rsidRPr="00493AC6">
        <w:rPr>
          <w:rFonts w:ascii="Open Sans" w:hAnsi="Open Sans" w:cs="Open Sans"/>
          <w:lang w:val="en-US"/>
        </w:rPr>
        <w:t xml:space="preserve"> into school, but she couldn't because, well, they moved anyway and suddenly it was like, </w:t>
      </w:r>
      <w:r w:rsidRPr="00493AC6">
        <w:rPr>
          <w:rFonts w:ascii="Open Sans" w:hAnsi="Open Sans" w:cs="Open Sans"/>
          <w:lang w:val="en-US"/>
        </w:rPr>
        <w:t>‘</w:t>
      </w:r>
      <w:r w:rsidR="00194A11" w:rsidRPr="00493AC6">
        <w:rPr>
          <w:rFonts w:ascii="Open Sans" w:hAnsi="Open Sans" w:cs="Open Sans"/>
          <w:lang w:val="en-US"/>
        </w:rPr>
        <w:t xml:space="preserve">oh now we're in a new area should </w:t>
      </w:r>
      <w:r w:rsidRPr="00493AC6">
        <w:rPr>
          <w:rFonts w:ascii="Open Sans" w:hAnsi="Open Sans" w:cs="Open Sans"/>
          <w:lang w:val="en-US"/>
        </w:rPr>
        <w:t>we bother getting [child] into school?’ Should we wait f</w:t>
      </w:r>
      <w:r w:rsidR="00194A11" w:rsidRPr="00493AC6">
        <w:rPr>
          <w:rFonts w:ascii="Open Sans" w:hAnsi="Open Sans" w:cs="Open Sans"/>
          <w:lang w:val="en-US"/>
        </w:rPr>
        <w:t>or her to go to refuge</w:t>
      </w:r>
      <w:r w:rsidRPr="00493AC6">
        <w:rPr>
          <w:rFonts w:ascii="Open Sans" w:hAnsi="Open Sans" w:cs="Open Sans"/>
          <w:lang w:val="en-US"/>
        </w:rPr>
        <w:t>?</w:t>
      </w:r>
      <w:r w:rsidR="00194A11" w:rsidRPr="00493AC6">
        <w:rPr>
          <w:rFonts w:ascii="Open Sans" w:hAnsi="Open Sans" w:cs="Open Sans"/>
          <w:lang w:val="en-US"/>
        </w:rPr>
        <w:t xml:space="preserve"> </w:t>
      </w:r>
      <w:r w:rsidR="00631D3B" w:rsidRPr="00493AC6">
        <w:rPr>
          <w:rFonts w:ascii="Open Sans" w:hAnsi="Open Sans" w:cs="Open Sans"/>
          <w:lang w:val="en-US"/>
        </w:rPr>
        <w:t>S</w:t>
      </w:r>
      <w:r w:rsidR="00194A11" w:rsidRPr="00493AC6">
        <w:rPr>
          <w:rFonts w:ascii="Open Sans" w:hAnsi="Open Sans" w:cs="Open Sans"/>
          <w:lang w:val="en-US"/>
        </w:rPr>
        <w:t>o you</w:t>
      </w:r>
      <w:r w:rsidRPr="00493AC6">
        <w:rPr>
          <w:rFonts w:ascii="Open Sans" w:hAnsi="Open Sans" w:cs="Open Sans"/>
          <w:lang w:val="en-US"/>
        </w:rPr>
        <w:t>,</w:t>
      </w:r>
      <w:r w:rsidR="00194A11" w:rsidRPr="00493AC6">
        <w:rPr>
          <w:rFonts w:ascii="Open Sans" w:hAnsi="Open Sans" w:cs="Open Sans"/>
          <w:lang w:val="en-US"/>
        </w:rPr>
        <w:t xml:space="preserve"> know we've got a young child who's been out of school for months s</w:t>
      </w:r>
      <w:r w:rsidRPr="00493AC6">
        <w:rPr>
          <w:rFonts w:ascii="Open Sans" w:hAnsi="Open Sans" w:cs="Open Sans"/>
          <w:lang w:val="en-US"/>
        </w:rPr>
        <w:t>imply because we're clinging on</w:t>
      </w:r>
      <w:r w:rsidR="00194A11" w:rsidRPr="00493AC6">
        <w:rPr>
          <w:rFonts w:ascii="Open Sans" w:hAnsi="Open Sans" w:cs="Open Sans"/>
          <w:lang w:val="en-US"/>
        </w:rPr>
        <w:t>to this ho</w:t>
      </w:r>
      <w:r w:rsidRPr="00493AC6">
        <w:rPr>
          <w:rFonts w:ascii="Open Sans" w:hAnsi="Open Sans" w:cs="Open Sans"/>
          <w:lang w:val="en-US"/>
        </w:rPr>
        <w:t>pe she might be eligible</w:t>
      </w:r>
      <w:r w:rsidR="00631D3B" w:rsidRPr="00493AC6">
        <w:rPr>
          <w:rFonts w:ascii="Open Sans" w:hAnsi="Open Sans" w:cs="Open Sans"/>
          <w:lang w:val="en-US"/>
        </w:rPr>
        <w:t xml:space="preserve"> [for state benefits]</w:t>
      </w:r>
      <w:r w:rsidRPr="00493AC6">
        <w:rPr>
          <w:rFonts w:ascii="Open Sans" w:hAnsi="Open Sans" w:cs="Open Sans"/>
          <w:lang w:val="en-US"/>
        </w:rPr>
        <w:t>. But [child]</w:t>
      </w:r>
      <w:r w:rsidR="00194A11" w:rsidRPr="00493AC6">
        <w:rPr>
          <w:rFonts w:ascii="Open Sans" w:hAnsi="Open Sans" w:cs="Open Sans"/>
          <w:lang w:val="en-US"/>
        </w:rPr>
        <w:t xml:space="preserve"> could have actually just been, supported with getting into school </w:t>
      </w:r>
      <w:r w:rsidRPr="00493AC6">
        <w:rPr>
          <w:rFonts w:ascii="Open Sans" w:hAnsi="Open Sans" w:cs="Open Sans"/>
          <w:lang w:val="en-US"/>
        </w:rPr>
        <w:t>at the very beginning, and if [child]</w:t>
      </w:r>
      <w:r w:rsidR="00194A11" w:rsidRPr="00493AC6">
        <w:rPr>
          <w:rFonts w:ascii="Open Sans" w:hAnsi="Open Sans" w:cs="Open Sans"/>
          <w:lang w:val="en-US"/>
        </w:rPr>
        <w:t xml:space="preserve"> went into a refuge that would have happened. You know, she's only on day one in refuge, and they're already getting a family support worker in to help her look for a school.” </w:t>
      </w:r>
    </w:p>
    <w:p w14:paraId="06EC83AE" w14:textId="6AE607E8" w:rsidR="00345C05" w:rsidRPr="00493AC6" w:rsidRDefault="00345C05" w:rsidP="007E72F1">
      <w:pPr>
        <w:rPr>
          <w:rFonts w:ascii="Open Sans" w:hAnsi="Open Sans" w:cs="Open Sans"/>
          <w:lang w:val="en-US"/>
        </w:rPr>
      </w:pPr>
      <w:r w:rsidRPr="00493AC6">
        <w:rPr>
          <w:rFonts w:ascii="Open Sans" w:hAnsi="Open Sans" w:cs="Open Sans"/>
          <w:lang w:val="en-US"/>
        </w:rPr>
        <w:t xml:space="preserve">Recently the impact </w:t>
      </w:r>
      <w:r w:rsidR="0046747C" w:rsidRPr="00493AC6">
        <w:rPr>
          <w:rFonts w:ascii="Open Sans" w:hAnsi="Open Sans" w:cs="Open Sans"/>
          <w:lang w:val="en-US"/>
        </w:rPr>
        <w:t>o</w:t>
      </w:r>
      <w:r w:rsidR="00782C21" w:rsidRPr="00493AC6">
        <w:rPr>
          <w:rFonts w:ascii="Open Sans" w:hAnsi="Open Sans" w:cs="Open Sans"/>
          <w:lang w:val="en-US"/>
        </w:rPr>
        <w:t>f school closures during the Covid-19 restrictions on children and young people has been brought to the Government’s attention. This includes the drop in attainment that has disproportionately affected younger children, children from working class families, and Black and minoritised children (Department for Education, 2021; House of Commons Education Committee, 2022). These issues are deeply concerning, and therefore i</w:t>
      </w:r>
      <w:r w:rsidR="00261A32" w:rsidRPr="00493AC6">
        <w:rPr>
          <w:rFonts w:ascii="Open Sans" w:hAnsi="Open Sans" w:cs="Open Sans"/>
          <w:lang w:val="en-US"/>
        </w:rPr>
        <w:t xml:space="preserve">t is important to remember that many children are left missing school because of having to flee domestic abuse. </w:t>
      </w:r>
      <w:r w:rsidR="0016552E" w:rsidRPr="00493AC6">
        <w:rPr>
          <w:rFonts w:ascii="Open Sans" w:hAnsi="Open Sans" w:cs="Open Sans"/>
          <w:lang w:val="en-US"/>
        </w:rPr>
        <w:t>Finding this mother and child safe and suitable accommodation where the child could attend school should have been a primary concern for social services.</w:t>
      </w:r>
      <w:r w:rsidR="00261A32" w:rsidRPr="00493AC6">
        <w:rPr>
          <w:rFonts w:ascii="Open Sans" w:hAnsi="Open Sans" w:cs="Open Sans"/>
          <w:lang w:val="en-US"/>
        </w:rPr>
        <w:t xml:space="preserve"> </w:t>
      </w:r>
    </w:p>
    <w:p w14:paraId="15CA3A48" w14:textId="77777777" w:rsidR="00493AC6" w:rsidRPr="00493AC6" w:rsidRDefault="00493AC6" w:rsidP="007E72F1">
      <w:pPr>
        <w:rPr>
          <w:rFonts w:ascii="Open Sans" w:hAnsi="Open Sans" w:cs="Open Sans"/>
          <w:lang w:val="en-US"/>
        </w:rPr>
      </w:pPr>
    </w:p>
    <w:p w14:paraId="3A846987" w14:textId="77777777" w:rsidR="00971C18" w:rsidRPr="00343AB3" w:rsidRDefault="0040740B" w:rsidP="00343AB3">
      <w:pPr>
        <w:pStyle w:val="Heading3"/>
      </w:pPr>
      <w:r w:rsidRPr="00343AB3">
        <w:lastRenderedPageBreak/>
        <w:t>W</w:t>
      </w:r>
      <w:r w:rsidRPr="00343AB3">
        <w:rPr>
          <w:rStyle w:val="Heading4Char"/>
          <w:color w:val="EC008B" w:themeColor="accent2"/>
          <w:szCs w:val="24"/>
        </w:rPr>
        <w:t xml:space="preserve">hat is needed to help the domestic abuse sector support </w:t>
      </w:r>
      <w:r w:rsidR="00F27F46" w:rsidRPr="00343AB3">
        <w:rPr>
          <w:rStyle w:val="Heading4Char"/>
          <w:color w:val="EC008B" w:themeColor="accent2"/>
          <w:szCs w:val="24"/>
        </w:rPr>
        <w:t>survivors?</w:t>
      </w:r>
    </w:p>
    <w:p w14:paraId="04D1262E" w14:textId="7A09FC99" w:rsidR="00CC0EF3" w:rsidRPr="00493AC6" w:rsidRDefault="00043EF2" w:rsidP="007E72F1">
      <w:pPr>
        <w:rPr>
          <w:rFonts w:ascii="Open Sans" w:hAnsi="Open Sans" w:cs="Open Sans"/>
          <w:color w:val="262626" w:themeColor="text1"/>
          <w:lang w:val="en-US"/>
        </w:rPr>
      </w:pPr>
      <w:r w:rsidRPr="00493AC6">
        <w:rPr>
          <w:rFonts w:ascii="Open Sans" w:hAnsi="Open Sans" w:cs="Open Sans"/>
          <w:color w:val="262626" w:themeColor="text1"/>
        </w:rPr>
        <w:t>Having supported many surv</w:t>
      </w:r>
      <w:r w:rsidR="00BA6228" w:rsidRPr="00493AC6">
        <w:rPr>
          <w:rFonts w:ascii="Open Sans" w:hAnsi="Open Sans" w:cs="Open Sans"/>
          <w:color w:val="262626" w:themeColor="text1"/>
        </w:rPr>
        <w:t xml:space="preserve">ivors who believe themselves not to be entitled to benefits after having been told so by </w:t>
      </w:r>
      <w:r w:rsidR="00417CF0" w:rsidRPr="00493AC6">
        <w:rPr>
          <w:rFonts w:ascii="Open Sans" w:hAnsi="Open Sans" w:cs="Open Sans"/>
          <w:color w:val="262626" w:themeColor="text1"/>
        </w:rPr>
        <w:t>statutory services or other organisations</w:t>
      </w:r>
      <w:r w:rsidR="00BA6228" w:rsidRPr="00493AC6">
        <w:rPr>
          <w:rFonts w:ascii="Open Sans" w:hAnsi="Open Sans" w:cs="Open Sans"/>
          <w:color w:val="262626" w:themeColor="text1"/>
        </w:rPr>
        <w:t xml:space="preserve">, Priya stressed that the domestic abuse sector needed better access to advice services. </w:t>
      </w:r>
      <w:r w:rsidR="00417CF0" w:rsidRPr="00493AC6">
        <w:rPr>
          <w:rFonts w:ascii="Open Sans" w:hAnsi="Open Sans" w:cs="Open Sans"/>
          <w:color w:val="262626" w:themeColor="text1"/>
          <w:lang w:val="en-US"/>
        </w:rPr>
        <w:t xml:space="preserve">Generally, Priya will contact Child Poverty Action Group (CPAG) and </w:t>
      </w:r>
      <w:r w:rsidR="007757BD" w:rsidRPr="00493AC6">
        <w:rPr>
          <w:rFonts w:ascii="Open Sans" w:hAnsi="Open Sans" w:cs="Open Sans"/>
          <w:color w:val="262626" w:themeColor="text1"/>
          <w:lang w:val="en-US"/>
        </w:rPr>
        <w:t>the Aire Centre for benefits advice on survivors who aren’t British citizens.</w:t>
      </w:r>
      <w:r w:rsidR="001E0B46" w:rsidRPr="00493AC6">
        <w:rPr>
          <w:rFonts w:ascii="Open Sans" w:hAnsi="Open Sans" w:cs="Open Sans"/>
          <w:b/>
          <w:bCs/>
          <w:color w:val="262626" w:themeColor="text1"/>
        </w:rPr>
        <w:t xml:space="preserve"> </w:t>
      </w:r>
      <w:r w:rsidR="00CC0EF3" w:rsidRPr="00493AC6">
        <w:rPr>
          <w:rFonts w:ascii="Open Sans" w:hAnsi="Open Sans" w:cs="Open Sans"/>
          <w:color w:val="262626" w:themeColor="text1"/>
          <w:lang w:val="en-US"/>
        </w:rPr>
        <w:t xml:space="preserve">Another </w:t>
      </w:r>
      <w:r w:rsidR="00267A25" w:rsidRPr="00493AC6">
        <w:rPr>
          <w:rFonts w:ascii="Open Sans" w:hAnsi="Open Sans" w:cs="Open Sans"/>
          <w:color w:val="262626" w:themeColor="text1"/>
          <w:lang w:val="en-US"/>
        </w:rPr>
        <w:t>requirement</w:t>
      </w:r>
      <w:r w:rsidR="00CC0EF3" w:rsidRPr="00493AC6">
        <w:rPr>
          <w:rFonts w:ascii="Open Sans" w:hAnsi="Open Sans" w:cs="Open Sans"/>
          <w:color w:val="262626" w:themeColor="text1"/>
          <w:lang w:val="en-US"/>
        </w:rPr>
        <w:t xml:space="preserve"> that Priya was keen to emphasis is the need for specialist domestic abuse refuges </w:t>
      </w:r>
      <w:r w:rsidR="001C459B" w:rsidRPr="00493AC6">
        <w:rPr>
          <w:rFonts w:ascii="Open Sans" w:hAnsi="Open Sans" w:cs="Open Sans"/>
          <w:color w:val="262626" w:themeColor="text1"/>
          <w:lang w:val="en-US"/>
        </w:rPr>
        <w:t xml:space="preserve">run by dedicated providers </w:t>
      </w:r>
      <w:r w:rsidR="000672AC" w:rsidRPr="00493AC6">
        <w:rPr>
          <w:rFonts w:ascii="Open Sans" w:hAnsi="Open Sans" w:cs="Open Sans"/>
          <w:color w:val="262626" w:themeColor="text1"/>
          <w:lang w:val="en-US"/>
        </w:rPr>
        <w:t>including service run ‘</w:t>
      </w:r>
      <w:r w:rsidR="00CC0EF3" w:rsidRPr="00493AC6">
        <w:rPr>
          <w:rFonts w:ascii="Open Sans" w:hAnsi="Open Sans" w:cs="Open Sans"/>
          <w:color w:val="262626" w:themeColor="text1"/>
          <w:lang w:val="en-US"/>
        </w:rPr>
        <w:t xml:space="preserve">by and for’ </w:t>
      </w:r>
      <w:r w:rsidR="000672AC" w:rsidRPr="00493AC6">
        <w:rPr>
          <w:rFonts w:ascii="Open Sans" w:hAnsi="Open Sans" w:cs="Open Sans"/>
          <w:color w:val="262626" w:themeColor="text1"/>
          <w:lang w:val="en-US"/>
        </w:rPr>
        <w:t>Black and minorit</w:t>
      </w:r>
      <w:r w:rsidR="00643BB9" w:rsidRPr="00493AC6">
        <w:rPr>
          <w:rFonts w:ascii="Open Sans" w:hAnsi="Open Sans" w:cs="Open Sans"/>
          <w:color w:val="262626" w:themeColor="text1"/>
          <w:lang w:val="en-US"/>
        </w:rPr>
        <w:t>i</w:t>
      </w:r>
      <w:r w:rsidR="000672AC" w:rsidRPr="00493AC6">
        <w:rPr>
          <w:rFonts w:ascii="Open Sans" w:hAnsi="Open Sans" w:cs="Open Sans"/>
          <w:color w:val="262626" w:themeColor="text1"/>
          <w:lang w:val="en-US"/>
        </w:rPr>
        <w:t>sed women</w:t>
      </w:r>
      <w:r w:rsidR="00CC0EF3" w:rsidRPr="00493AC6">
        <w:rPr>
          <w:rFonts w:ascii="Open Sans" w:hAnsi="Open Sans" w:cs="Open Sans"/>
          <w:color w:val="262626" w:themeColor="text1"/>
          <w:lang w:val="en-US"/>
        </w:rPr>
        <w:t xml:space="preserve">. </w:t>
      </w:r>
    </w:p>
    <w:p w14:paraId="6C2C70B7" w14:textId="77777777" w:rsidR="00493AC6" w:rsidRPr="00493AC6" w:rsidRDefault="00493AC6" w:rsidP="007E72F1">
      <w:pPr>
        <w:rPr>
          <w:rFonts w:ascii="Open Sans" w:hAnsi="Open Sans" w:cs="Open Sans"/>
          <w:b/>
          <w:bCs/>
          <w:color w:val="262626" w:themeColor="text1"/>
        </w:rPr>
      </w:pPr>
    </w:p>
    <w:p w14:paraId="4D5B87B0" w14:textId="77777777" w:rsidR="00F27F46" w:rsidRPr="00493AC6" w:rsidRDefault="00F27F46" w:rsidP="00343AB3">
      <w:pPr>
        <w:pStyle w:val="Heading3"/>
        <w:rPr>
          <w:iCs/>
        </w:rPr>
      </w:pPr>
      <w:r w:rsidRPr="00493AC6">
        <w:t>Highlight of working on the NWTA project</w:t>
      </w:r>
    </w:p>
    <w:p w14:paraId="4B713C29" w14:textId="77777777" w:rsidR="00971C18" w:rsidRPr="00493AC6" w:rsidRDefault="00971C18" w:rsidP="007E72F1">
      <w:pPr>
        <w:jc w:val="both"/>
        <w:rPr>
          <w:rFonts w:ascii="Open Sans" w:hAnsi="Open Sans" w:cs="Open Sans"/>
          <w:color w:val="262626" w:themeColor="text1"/>
          <w:lang w:val="en-US"/>
        </w:rPr>
      </w:pPr>
      <w:r w:rsidRPr="00493AC6">
        <w:rPr>
          <w:rFonts w:ascii="Open Sans" w:hAnsi="Open Sans" w:cs="Open Sans"/>
          <w:color w:val="262626" w:themeColor="text1"/>
          <w:lang w:val="en-US"/>
        </w:rPr>
        <w:t xml:space="preserve">“My favorite part about my job […] is obviously getting women into refuge or getting women accommodated somewhere suitable because there's no point getting them accommodated where it won't work out and that we don't go for that </w:t>
      </w:r>
      <w:r w:rsidR="00C35E49" w:rsidRPr="00493AC6">
        <w:rPr>
          <w:rFonts w:ascii="Open Sans" w:hAnsi="Open Sans" w:cs="Open Sans"/>
          <w:color w:val="262626" w:themeColor="text1"/>
          <w:lang w:val="en-US"/>
        </w:rPr>
        <w:t xml:space="preserve">anyway. You know, we wouldn't entertain that at all. It's about getting </w:t>
      </w:r>
      <w:r w:rsidR="00F27F46" w:rsidRPr="00493AC6">
        <w:rPr>
          <w:rFonts w:ascii="Open Sans" w:hAnsi="Open Sans" w:cs="Open Sans"/>
          <w:color w:val="262626" w:themeColor="text1"/>
          <w:lang w:val="en-US"/>
        </w:rPr>
        <w:t>something sustainable for them.</w:t>
      </w:r>
      <w:r w:rsidRPr="00493AC6">
        <w:rPr>
          <w:rFonts w:ascii="Open Sans" w:hAnsi="Open Sans" w:cs="Open Sans"/>
          <w:color w:val="262626" w:themeColor="text1"/>
          <w:lang w:val="en-US"/>
        </w:rPr>
        <w:t xml:space="preserve"> </w:t>
      </w:r>
    </w:p>
    <w:p w14:paraId="521DC6D6" w14:textId="4F478DA2" w:rsidR="004546CB" w:rsidRPr="00493AC6" w:rsidRDefault="00971C18" w:rsidP="007E72F1">
      <w:pPr>
        <w:rPr>
          <w:rFonts w:ascii="Open Sans" w:eastAsiaTheme="majorEastAsia" w:hAnsi="Open Sans" w:cs="Open Sans"/>
          <w:b/>
          <w:color w:val="262626" w:themeColor="text1"/>
          <w:sz w:val="56"/>
          <w:szCs w:val="56"/>
        </w:rPr>
      </w:pPr>
      <w:r w:rsidRPr="00493AC6">
        <w:t>“</w:t>
      </w:r>
      <w:r w:rsidR="00F27F46" w:rsidRPr="00493AC6">
        <w:t>But</w:t>
      </w:r>
      <w:r w:rsidRPr="00493AC6">
        <w:t xml:space="preserve"> another part is actually giving the women who are really hard to reach out to</w:t>
      </w:r>
      <w:r w:rsidR="00217B37" w:rsidRPr="00493AC6">
        <w:t xml:space="preserve"> […] </w:t>
      </w:r>
      <w:r w:rsidRPr="00493AC6">
        <w:t>or the women who found it hard to reach out to us, giving them that bit of hope that actually we can work with them and there is still a way out.”</w:t>
      </w:r>
      <w:r w:rsidR="005658B9" w:rsidRPr="00493AC6">
        <w:rPr>
          <w:rFonts w:ascii="Open Sans" w:hAnsi="Open Sans" w:cs="Open Sans"/>
          <w:b/>
          <w:bCs/>
          <w:color w:val="262626" w:themeColor="text1"/>
          <w:sz w:val="56"/>
          <w:szCs w:val="56"/>
        </w:rPr>
        <w:br w:type="page"/>
      </w:r>
      <w:r w:rsidR="004546CB" w:rsidRPr="00343AB3">
        <w:rPr>
          <w:rStyle w:val="Heading2Char"/>
        </w:rPr>
        <w:lastRenderedPageBreak/>
        <w:t>Liesel’s</w:t>
      </w:r>
      <w:r w:rsidR="00914A7D" w:rsidRPr="00343AB3">
        <w:rPr>
          <w:rStyle w:val="Heading2Char"/>
          <w:vertAlign w:val="superscript"/>
        </w:rPr>
        <w:footnoteReference w:id="45"/>
      </w:r>
      <w:r w:rsidR="004546CB" w:rsidRPr="00343AB3">
        <w:rPr>
          <w:rStyle w:val="Heading2Char"/>
        </w:rPr>
        <w:t xml:space="preserve"> story</w:t>
      </w:r>
    </w:p>
    <w:p w14:paraId="7498C6BA" w14:textId="77777777" w:rsidR="004546CB" w:rsidRPr="00493AC6" w:rsidRDefault="004546CB" w:rsidP="007E72F1">
      <w:pPr>
        <w:rPr>
          <w:rFonts w:ascii="Open Sans" w:hAnsi="Open Sans" w:cs="Open Sans"/>
          <w:color w:val="262626" w:themeColor="text1"/>
        </w:rPr>
      </w:pPr>
      <w:r w:rsidRPr="00493AC6">
        <w:rPr>
          <w:rFonts w:ascii="Open Sans" w:hAnsi="Open Sans" w:cs="Open Sans"/>
          <w:color w:val="262626" w:themeColor="text1"/>
        </w:rPr>
        <w:t>Liesel was referred to the NWTA project by Women’s Aid Live Chat service</w:t>
      </w:r>
      <w:r w:rsidR="005337B0" w:rsidRPr="00493AC6">
        <w:rPr>
          <w:rFonts w:ascii="Open Sans" w:hAnsi="Open Sans" w:cs="Open Sans"/>
          <w:color w:val="262626" w:themeColor="text1"/>
        </w:rPr>
        <w:t xml:space="preserve">. She was finding it hard to find a </w:t>
      </w:r>
      <w:r w:rsidR="00914A7D" w:rsidRPr="00493AC6">
        <w:rPr>
          <w:rFonts w:ascii="Open Sans" w:hAnsi="Open Sans" w:cs="Open Sans"/>
          <w:color w:val="262626" w:themeColor="text1"/>
        </w:rPr>
        <w:t>suitable</w:t>
      </w:r>
      <w:r w:rsidR="005337B0" w:rsidRPr="00493AC6">
        <w:rPr>
          <w:rFonts w:ascii="Open Sans" w:hAnsi="Open Sans" w:cs="Open Sans"/>
          <w:color w:val="262626" w:themeColor="text1"/>
        </w:rPr>
        <w:t xml:space="preserve"> refuge space because she has a</w:t>
      </w:r>
      <w:r w:rsidRPr="00493AC6">
        <w:rPr>
          <w:rFonts w:ascii="Open Sans" w:hAnsi="Open Sans" w:cs="Open Sans"/>
          <w:color w:val="262626" w:themeColor="text1"/>
        </w:rPr>
        <w:t xml:space="preserve"> </w:t>
      </w:r>
      <w:r w:rsidR="00D17298" w:rsidRPr="00493AC6">
        <w:rPr>
          <w:rFonts w:ascii="Open Sans" w:hAnsi="Open Sans" w:cs="Open Sans"/>
          <w:color w:val="262626" w:themeColor="text1"/>
        </w:rPr>
        <w:t>teenage son, who was over 14 years old</w:t>
      </w:r>
      <w:r w:rsidR="00087F6E" w:rsidRPr="00493AC6">
        <w:rPr>
          <w:rStyle w:val="FootnoteReference"/>
          <w:rFonts w:ascii="Open Sans" w:hAnsi="Open Sans" w:cs="Open Sans"/>
          <w:color w:val="262626" w:themeColor="text1"/>
        </w:rPr>
        <w:footnoteReference w:id="46"/>
      </w:r>
      <w:r w:rsidR="00D17298" w:rsidRPr="00493AC6">
        <w:rPr>
          <w:rFonts w:ascii="Open Sans" w:hAnsi="Open Sans" w:cs="Open Sans"/>
          <w:color w:val="262626" w:themeColor="text1"/>
        </w:rPr>
        <w:t xml:space="preserve"> and ha</w:t>
      </w:r>
      <w:r w:rsidR="005337B0" w:rsidRPr="00493AC6">
        <w:rPr>
          <w:rFonts w:ascii="Open Sans" w:hAnsi="Open Sans" w:cs="Open Sans"/>
          <w:color w:val="262626" w:themeColor="text1"/>
        </w:rPr>
        <w:t>s</w:t>
      </w:r>
      <w:r w:rsidR="00D17298" w:rsidRPr="00493AC6">
        <w:rPr>
          <w:rFonts w:ascii="Open Sans" w:hAnsi="Open Sans" w:cs="Open Sans"/>
          <w:color w:val="262626" w:themeColor="text1"/>
        </w:rPr>
        <w:t xml:space="preserve"> learning disabilities. Liesel also ha</w:t>
      </w:r>
      <w:r w:rsidR="005337B0" w:rsidRPr="00493AC6">
        <w:rPr>
          <w:rFonts w:ascii="Open Sans" w:hAnsi="Open Sans" w:cs="Open Sans"/>
          <w:color w:val="262626" w:themeColor="text1"/>
        </w:rPr>
        <w:t>s</w:t>
      </w:r>
      <w:r w:rsidR="00914A7D" w:rsidRPr="00493AC6">
        <w:rPr>
          <w:rFonts w:ascii="Open Sans" w:hAnsi="Open Sans" w:cs="Open Sans"/>
          <w:color w:val="262626" w:themeColor="text1"/>
        </w:rPr>
        <w:t xml:space="preserve"> </w:t>
      </w:r>
      <w:r w:rsidR="00D17298" w:rsidRPr="00493AC6">
        <w:rPr>
          <w:rFonts w:ascii="Open Sans" w:hAnsi="Open Sans" w:cs="Open Sans"/>
          <w:color w:val="262626" w:themeColor="text1"/>
        </w:rPr>
        <w:t>two other children, and was hoping to secure a refuge space for herself and her three children in order to get away from her abusive partner.</w:t>
      </w:r>
      <w:r w:rsidR="00796290" w:rsidRPr="00493AC6">
        <w:rPr>
          <w:rFonts w:ascii="Open Sans" w:hAnsi="Open Sans" w:cs="Open Sans"/>
          <w:color w:val="262626" w:themeColor="text1"/>
        </w:rPr>
        <w:t xml:space="preserve"> Due to her son’s support needs, Liesel felt that sharing communal areas with oth</w:t>
      </w:r>
      <w:r w:rsidR="0038546C" w:rsidRPr="00493AC6">
        <w:rPr>
          <w:rFonts w:ascii="Open Sans" w:hAnsi="Open Sans" w:cs="Open Sans"/>
          <w:color w:val="262626" w:themeColor="text1"/>
        </w:rPr>
        <w:t xml:space="preserve">er survivors and their children would be very difficult, and so therefore asked the NWTA caseworker to search for self-contained spaces. </w:t>
      </w:r>
    </w:p>
    <w:p w14:paraId="71091CB7" w14:textId="77777777" w:rsidR="0038546C" w:rsidRPr="00493AC6" w:rsidRDefault="0038546C" w:rsidP="007E72F1">
      <w:pPr>
        <w:rPr>
          <w:rFonts w:ascii="Open Sans" w:hAnsi="Open Sans" w:cs="Open Sans"/>
          <w:color w:val="262626" w:themeColor="text1"/>
        </w:rPr>
      </w:pPr>
      <w:r w:rsidRPr="00493AC6">
        <w:rPr>
          <w:rFonts w:ascii="Open Sans" w:hAnsi="Open Sans" w:cs="Open Sans"/>
          <w:color w:val="262626" w:themeColor="text1"/>
        </w:rPr>
        <w:t>After a couple of weeks of the NWTA caseworker trying to find a suitable refuge space, Liesel was physically abused for the first time by her partner. Upon this, Liesel moved herself and her children to a family member’s house. Although this was much safer for her and the children, it was not possible for Liesel</w:t>
      </w:r>
      <w:r w:rsidR="00755F6A" w:rsidRPr="00493AC6">
        <w:rPr>
          <w:rFonts w:ascii="Open Sans" w:hAnsi="Open Sans" w:cs="Open Sans"/>
          <w:color w:val="262626" w:themeColor="text1"/>
        </w:rPr>
        <w:t xml:space="preserve"> to stay long-term due to space</w:t>
      </w:r>
      <w:r w:rsidRPr="00493AC6">
        <w:rPr>
          <w:rFonts w:ascii="Open Sans" w:hAnsi="Open Sans" w:cs="Open Sans"/>
          <w:color w:val="262626" w:themeColor="text1"/>
        </w:rPr>
        <w:t xml:space="preserve"> a</w:t>
      </w:r>
      <w:r w:rsidR="00755F6A" w:rsidRPr="00493AC6">
        <w:rPr>
          <w:rFonts w:ascii="Open Sans" w:hAnsi="Open Sans" w:cs="Open Sans"/>
          <w:color w:val="262626" w:themeColor="text1"/>
        </w:rPr>
        <w:t xml:space="preserve">nd </w:t>
      </w:r>
      <w:r w:rsidRPr="00493AC6">
        <w:rPr>
          <w:rFonts w:ascii="Open Sans" w:hAnsi="Open Sans" w:cs="Open Sans"/>
          <w:color w:val="262626" w:themeColor="text1"/>
        </w:rPr>
        <w:t xml:space="preserve">the perpetrator knowing </w:t>
      </w:r>
      <w:r w:rsidR="00755F6A" w:rsidRPr="00493AC6">
        <w:rPr>
          <w:rFonts w:ascii="Open Sans" w:hAnsi="Open Sans" w:cs="Open Sans"/>
          <w:color w:val="262626" w:themeColor="text1"/>
        </w:rPr>
        <w:t xml:space="preserve">their </w:t>
      </w:r>
      <w:r w:rsidRPr="00493AC6">
        <w:rPr>
          <w:rFonts w:ascii="Open Sans" w:hAnsi="Open Sans" w:cs="Open Sans"/>
          <w:color w:val="262626" w:themeColor="text1"/>
        </w:rPr>
        <w:t xml:space="preserve">whereabouts. </w:t>
      </w:r>
    </w:p>
    <w:p w14:paraId="059F8761" w14:textId="459E8033" w:rsidR="00755F6A" w:rsidRPr="00493AC6" w:rsidRDefault="00D63683" w:rsidP="007E72F1">
      <w:pPr>
        <w:rPr>
          <w:rFonts w:ascii="Open Sans" w:hAnsi="Open Sans" w:cs="Open Sans"/>
          <w:color w:val="262626" w:themeColor="text1"/>
        </w:rPr>
      </w:pPr>
      <w:r w:rsidRPr="00493AC6">
        <w:rPr>
          <w:rFonts w:ascii="Open Sans" w:hAnsi="Open Sans" w:cs="Open Sans"/>
          <w:color w:val="262626" w:themeColor="text1"/>
        </w:rPr>
        <w:t xml:space="preserve">As part of the abuse, Liesel’s partner had made them move far away from all of her support networks, leaving Liesel and the children </w:t>
      </w:r>
      <w:r w:rsidRPr="00493AC6">
        <w:rPr>
          <w:rFonts w:ascii="Open Sans" w:hAnsi="Open Sans" w:cs="Open Sans"/>
          <w:color w:val="262626" w:themeColor="text1"/>
        </w:rPr>
        <w:lastRenderedPageBreak/>
        <w:t xml:space="preserve">extremely isolated. Therefore, Liesel was keen to come back to the area that she had </w:t>
      </w:r>
      <w:r w:rsidR="00CA24C7" w:rsidRPr="00493AC6">
        <w:rPr>
          <w:rFonts w:ascii="Open Sans" w:hAnsi="Open Sans" w:cs="Open Sans"/>
          <w:color w:val="262626" w:themeColor="text1"/>
        </w:rPr>
        <w:t xml:space="preserve">had to leave </w:t>
      </w:r>
      <w:r w:rsidRPr="00493AC6">
        <w:rPr>
          <w:rFonts w:ascii="Open Sans" w:hAnsi="Open Sans" w:cs="Open Sans"/>
          <w:color w:val="262626" w:themeColor="text1"/>
        </w:rPr>
        <w:t xml:space="preserve">many years previously. </w:t>
      </w:r>
      <w:r w:rsidR="0038546C" w:rsidRPr="00493AC6">
        <w:rPr>
          <w:rFonts w:ascii="Open Sans" w:hAnsi="Open Sans" w:cs="Open Sans"/>
          <w:color w:val="262626" w:themeColor="text1"/>
        </w:rPr>
        <w:t>Over a period of three months the caseworker conducted over 30 searches for a suitable refuge space on Routes to Support without there being a single one available. Due to this, the caseworker liaised simultaneously with a local authority, advocating for them to provide temporary accommodation for herself and the three children. Eventually, they accepted the</w:t>
      </w:r>
      <w:r w:rsidRPr="00493AC6">
        <w:rPr>
          <w:rFonts w:ascii="Open Sans" w:hAnsi="Open Sans" w:cs="Open Sans"/>
          <w:color w:val="262626" w:themeColor="text1"/>
        </w:rPr>
        <w:t xml:space="preserve">ir full duty to accommodate her, reuniting Liesel </w:t>
      </w:r>
      <w:r w:rsidR="002D66A9" w:rsidRPr="00493AC6">
        <w:rPr>
          <w:rFonts w:ascii="Open Sans" w:hAnsi="Open Sans" w:cs="Open Sans"/>
          <w:color w:val="262626" w:themeColor="text1"/>
        </w:rPr>
        <w:t>with her family and friends, granting her</w:t>
      </w:r>
      <w:r w:rsidR="00DC6443" w:rsidRPr="00493AC6">
        <w:rPr>
          <w:rFonts w:ascii="Open Sans" w:hAnsi="Open Sans" w:cs="Open Sans"/>
          <w:color w:val="262626" w:themeColor="text1"/>
        </w:rPr>
        <w:t xml:space="preserve"> the</w:t>
      </w:r>
      <w:r w:rsidR="002D66A9" w:rsidRPr="00493AC6">
        <w:rPr>
          <w:rFonts w:ascii="Open Sans" w:hAnsi="Open Sans" w:cs="Open Sans"/>
          <w:color w:val="262626" w:themeColor="text1"/>
        </w:rPr>
        <w:t xml:space="preserve"> opportunity to re-build </w:t>
      </w:r>
      <w:r w:rsidR="00DC6443" w:rsidRPr="00493AC6">
        <w:rPr>
          <w:rFonts w:ascii="Open Sans" w:hAnsi="Open Sans" w:cs="Open Sans"/>
          <w:color w:val="262626" w:themeColor="text1"/>
        </w:rPr>
        <w:t xml:space="preserve">her </w:t>
      </w:r>
      <w:r w:rsidR="002D66A9" w:rsidRPr="00493AC6">
        <w:rPr>
          <w:rFonts w:ascii="Open Sans" w:hAnsi="Open Sans" w:cs="Open Sans"/>
          <w:color w:val="262626" w:themeColor="text1"/>
        </w:rPr>
        <w:t>relationship with them</w:t>
      </w:r>
      <w:r w:rsidR="00DC6443" w:rsidRPr="00493AC6">
        <w:rPr>
          <w:rFonts w:ascii="Open Sans" w:hAnsi="Open Sans" w:cs="Open Sans"/>
          <w:color w:val="262626" w:themeColor="text1"/>
        </w:rPr>
        <w:t xml:space="preserve">, as well as for her children to </w:t>
      </w:r>
      <w:r w:rsidR="00160B2F" w:rsidRPr="00493AC6">
        <w:rPr>
          <w:rFonts w:ascii="Open Sans" w:hAnsi="Open Sans" w:cs="Open Sans"/>
          <w:color w:val="262626" w:themeColor="text1"/>
        </w:rPr>
        <w:t xml:space="preserve">get to </w:t>
      </w:r>
      <w:r w:rsidR="00DC6443" w:rsidRPr="00493AC6">
        <w:rPr>
          <w:rFonts w:ascii="Open Sans" w:hAnsi="Open Sans" w:cs="Open Sans"/>
          <w:color w:val="262626" w:themeColor="text1"/>
        </w:rPr>
        <w:t>know them</w:t>
      </w:r>
      <w:r w:rsidR="002D66A9" w:rsidRPr="00493AC6">
        <w:rPr>
          <w:rFonts w:ascii="Open Sans" w:hAnsi="Open Sans" w:cs="Open Sans"/>
          <w:color w:val="262626" w:themeColor="text1"/>
        </w:rPr>
        <w:t>.</w:t>
      </w:r>
    </w:p>
    <w:p w14:paraId="5419411F" w14:textId="77777777" w:rsidR="00755F6A" w:rsidRPr="00493AC6" w:rsidRDefault="00755F6A" w:rsidP="007E72F1">
      <w:pPr>
        <w:jc w:val="both"/>
        <w:rPr>
          <w:rFonts w:ascii="Open Sans" w:hAnsi="Open Sans" w:cs="Open Sans"/>
          <w:color w:val="262626" w:themeColor="text1"/>
        </w:rPr>
      </w:pPr>
      <w:r w:rsidRPr="00493AC6">
        <w:rPr>
          <w:rFonts w:ascii="Open Sans" w:hAnsi="Open Sans" w:cs="Open Sans"/>
          <w:color w:val="262626" w:themeColor="text1"/>
        </w:rPr>
        <w:br w:type="page"/>
      </w:r>
    </w:p>
    <w:p w14:paraId="33F4902E" w14:textId="49996ACC" w:rsidR="00354AAB" w:rsidRPr="00B23F7F" w:rsidRDefault="00354AAB" w:rsidP="00B23F7F">
      <w:pPr>
        <w:pStyle w:val="Heading1"/>
      </w:pPr>
      <w:bookmarkStart w:id="48" w:name="_Toc34262497"/>
      <w:bookmarkStart w:id="49" w:name="_Toc65875208"/>
      <w:bookmarkStart w:id="50" w:name="_Toc104535770"/>
      <w:r w:rsidRPr="00C40F27">
        <w:rPr>
          <w:b/>
          <w:bCs/>
        </w:rPr>
        <w:lastRenderedPageBreak/>
        <w:t>Part 4</w:t>
      </w:r>
      <w:r w:rsidR="00C40F27" w:rsidRPr="00C40F27">
        <w:rPr>
          <w:b/>
          <w:bCs/>
        </w:rPr>
        <w:t xml:space="preserve"> -</w:t>
      </w:r>
      <w:r w:rsidRPr="00C40F27">
        <w:t xml:space="preserve"> The Impact of the No Woman Turned Away Project</w:t>
      </w:r>
      <w:bookmarkEnd w:id="50"/>
    </w:p>
    <w:p w14:paraId="484C0855" w14:textId="77777777" w:rsidR="00511C9B" w:rsidRPr="00B23F7F" w:rsidRDefault="00755F6A" w:rsidP="00B23F7F">
      <w:pPr>
        <w:pStyle w:val="Heading2"/>
      </w:pPr>
      <w:bookmarkStart w:id="51" w:name="_Toc104535771"/>
      <w:r w:rsidRPr="00B23F7F">
        <w:t>How many women were accommodated in a refuge?</w:t>
      </w:r>
      <w:bookmarkEnd w:id="48"/>
      <w:bookmarkEnd w:id="49"/>
      <w:bookmarkEnd w:id="51"/>
    </w:p>
    <w:p w14:paraId="27E873A1" w14:textId="2E86E924" w:rsidR="00895CE0" w:rsidRDefault="00D97AE7" w:rsidP="007E72F1">
      <w:pPr>
        <w:rPr>
          <w:rFonts w:ascii="Open Sans" w:hAnsi="Open Sans" w:cs="Open Sans"/>
          <w:color w:val="262626" w:themeColor="text1"/>
        </w:rPr>
      </w:pPr>
      <w:r w:rsidRPr="00493AC6">
        <w:rPr>
          <w:rFonts w:ascii="Open Sans" w:hAnsi="Open Sans" w:cs="Open Sans"/>
          <w:color w:val="262626" w:themeColor="text1"/>
        </w:rPr>
        <w:t>Table 7</w:t>
      </w:r>
      <w:r w:rsidR="00755F6A" w:rsidRPr="00493AC6">
        <w:rPr>
          <w:rFonts w:ascii="Open Sans" w:hAnsi="Open Sans" w:cs="Open Sans"/>
          <w:color w:val="262626" w:themeColor="text1"/>
        </w:rPr>
        <w:t xml:space="preserve"> explains the end outcome for the 184 survivors supported by the project between 1</w:t>
      </w:r>
      <w:r w:rsidR="00755F6A" w:rsidRPr="00493AC6">
        <w:rPr>
          <w:rFonts w:ascii="Open Sans" w:hAnsi="Open Sans" w:cs="Open Sans"/>
          <w:color w:val="262626" w:themeColor="text1"/>
          <w:vertAlign w:val="superscript"/>
        </w:rPr>
        <w:t>st</w:t>
      </w:r>
      <w:r w:rsidR="00755F6A" w:rsidRPr="00493AC6">
        <w:rPr>
          <w:rFonts w:ascii="Open Sans" w:hAnsi="Open Sans" w:cs="Open Sans"/>
          <w:color w:val="262626" w:themeColor="text1"/>
        </w:rPr>
        <w:t xml:space="preserve"> January 2021 and 31</w:t>
      </w:r>
      <w:r w:rsidR="00755F6A" w:rsidRPr="00493AC6">
        <w:rPr>
          <w:rFonts w:ascii="Open Sans" w:hAnsi="Open Sans" w:cs="Open Sans"/>
          <w:color w:val="262626" w:themeColor="text1"/>
          <w:vertAlign w:val="superscript"/>
        </w:rPr>
        <w:t>st</w:t>
      </w:r>
      <w:r w:rsidR="00755F6A" w:rsidRPr="00493AC6">
        <w:rPr>
          <w:rFonts w:ascii="Open Sans" w:hAnsi="Open Sans" w:cs="Open Sans"/>
          <w:color w:val="262626" w:themeColor="text1"/>
        </w:rPr>
        <w:t xml:space="preserve"> December 2021. Although </w:t>
      </w:r>
      <w:r w:rsidR="725331B8" w:rsidRPr="00493AC6">
        <w:rPr>
          <w:rFonts w:ascii="Open Sans" w:hAnsi="Open Sans" w:cs="Open Sans"/>
          <w:color w:val="262626" w:themeColor="text1"/>
        </w:rPr>
        <w:t>fewer</w:t>
      </w:r>
      <w:r w:rsidR="00755F6A" w:rsidRPr="00493AC6">
        <w:rPr>
          <w:rFonts w:ascii="Open Sans" w:hAnsi="Open Sans" w:cs="Open Sans"/>
          <w:color w:val="262626" w:themeColor="text1"/>
        </w:rPr>
        <w:t xml:space="preserve"> women were accommodated in a refuge than last year, there were also more women who were placed in temporary accommodation by the local authority. In some cases, this was still a positive outcome for women that would have struggled to be in a communal refuge. For example, in Liesel’s case.</w:t>
      </w:r>
    </w:p>
    <w:p w14:paraId="08AAD024" w14:textId="77777777" w:rsidR="00343AB3" w:rsidRDefault="00343AB3" w:rsidP="007E72F1">
      <w:pPr>
        <w:rPr>
          <w:rFonts w:ascii="Open Sans" w:hAnsi="Open Sans" w:cs="Open Sans"/>
          <w:color w:val="262626" w:themeColor="text1"/>
        </w:rPr>
      </w:pPr>
    </w:p>
    <w:p w14:paraId="7CBD3C1E" w14:textId="4763C096" w:rsidR="00343AB3" w:rsidRDefault="00343AB3" w:rsidP="00343AB3">
      <w:pPr>
        <w:pStyle w:val="Heading3"/>
      </w:pPr>
      <w:r>
        <w:t>Table 7: Outcome at the end of support from the NWTA specialist practitioner</w:t>
      </w:r>
    </w:p>
    <w:p w14:paraId="743EA12C" w14:textId="7E8A87F8" w:rsidR="00343AB3" w:rsidRDefault="00343AB3" w:rsidP="00343AB3">
      <w:r w:rsidRPr="00493AC6">
        <w:t xml:space="preserve">Please note that this is a text version of a table depicting the same </w:t>
      </w:r>
      <w:r>
        <w:t>data</w:t>
      </w:r>
      <w:r w:rsidRPr="00493AC6">
        <w:t xml:space="preserve">. </w:t>
      </w:r>
      <w:r>
        <w:t>You can view this data in table format in the PDF version of this report, available on the Women’s Aid Evidence Hub.</w:t>
      </w:r>
    </w:p>
    <w:p w14:paraId="238F27F6" w14:textId="118CB2DF" w:rsidR="00343AB3" w:rsidRPr="00343AB3" w:rsidRDefault="00343AB3" w:rsidP="00343AB3">
      <w:r>
        <w:t xml:space="preserve">Below is a list of the different outcomes, the number of women who had the outcome and the percentage out of the total of 184 women supported by the project. </w:t>
      </w:r>
    </w:p>
    <w:p w14:paraId="240D6222" w14:textId="22EA97B0" w:rsidR="00343AB3" w:rsidRPr="00343AB3" w:rsidRDefault="00343AB3"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47 (25.5%) were a</w:t>
      </w:r>
      <w:r w:rsidRPr="00343AB3">
        <w:rPr>
          <w:rFonts w:ascii="Open Sans" w:hAnsi="Open Sans" w:cs="Open Sans"/>
          <w:color w:val="262626" w:themeColor="text1"/>
        </w:rPr>
        <w:t>ccommo</w:t>
      </w:r>
      <w:r>
        <w:rPr>
          <w:rFonts w:ascii="Open Sans" w:hAnsi="Open Sans" w:cs="Open Sans"/>
          <w:color w:val="262626" w:themeColor="text1"/>
        </w:rPr>
        <w:t>dated in suitable refuge space</w:t>
      </w:r>
    </w:p>
    <w:p w14:paraId="307A87B2" w14:textId="06E6E62B" w:rsidR="00343AB3" w:rsidRPr="00343AB3" w:rsidRDefault="00343AB3"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35 (19%) were a</w:t>
      </w:r>
      <w:r w:rsidRPr="00343AB3">
        <w:rPr>
          <w:rFonts w:ascii="Open Sans" w:hAnsi="Open Sans" w:cs="Open Sans"/>
          <w:color w:val="262626" w:themeColor="text1"/>
        </w:rPr>
        <w:t xml:space="preserve">ccommodated in </w:t>
      </w:r>
      <w:r w:rsidR="003614AA">
        <w:rPr>
          <w:rFonts w:ascii="Open Sans" w:hAnsi="Open Sans" w:cs="Open Sans"/>
          <w:color w:val="262626" w:themeColor="text1"/>
        </w:rPr>
        <w:t>emergency accommodation</w:t>
      </w:r>
    </w:p>
    <w:p w14:paraId="67B48D3B" w14:textId="563D3BB3" w:rsidR="00343AB3" w:rsidRPr="00343AB3" w:rsidRDefault="00343AB3"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30 (16.3%) had an unknown outcome, or contact was lost</w:t>
      </w:r>
    </w:p>
    <w:p w14:paraId="149AFAE9" w14:textId="3CE6405F"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lastRenderedPageBreak/>
        <w:t>16 (8.7%) s</w:t>
      </w:r>
      <w:r w:rsidR="00343AB3" w:rsidRPr="00343AB3">
        <w:rPr>
          <w:rFonts w:ascii="Open Sans" w:hAnsi="Open Sans" w:cs="Open Sans"/>
          <w:color w:val="262626" w:themeColor="text1"/>
        </w:rPr>
        <w:t>tayed pu</w:t>
      </w:r>
      <w:r>
        <w:rPr>
          <w:rFonts w:ascii="Open Sans" w:hAnsi="Open Sans" w:cs="Open Sans"/>
          <w:color w:val="262626" w:themeColor="text1"/>
        </w:rPr>
        <w:t>t – living with perpetrator</w:t>
      </w:r>
    </w:p>
    <w:p w14:paraId="18987465" w14:textId="207E3F27"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15 (8.1%) stayed put – n</w:t>
      </w:r>
      <w:r w:rsidR="00343AB3" w:rsidRPr="00343AB3">
        <w:rPr>
          <w:rFonts w:ascii="Open Sans" w:hAnsi="Open Sans" w:cs="Open Sans"/>
          <w:color w:val="262626" w:themeColor="text1"/>
        </w:rPr>
        <w:t>ot living with perpetr</w:t>
      </w:r>
      <w:r>
        <w:rPr>
          <w:rFonts w:ascii="Open Sans" w:hAnsi="Open Sans" w:cs="Open Sans"/>
          <w:color w:val="262626" w:themeColor="text1"/>
        </w:rPr>
        <w:t>ator at time of referral</w:t>
      </w:r>
    </w:p>
    <w:p w14:paraId="2BB5FF90" w14:textId="06CC354D"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8 (4.3%) were staying with friends and family</w:t>
      </w:r>
    </w:p>
    <w:p w14:paraId="001A0BFC" w14:textId="76CDDE24"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5 (2.7%) were a</w:t>
      </w:r>
      <w:r w:rsidR="00343AB3" w:rsidRPr="00343AB3">
        <w:rPr>
          <w:rFonts w:ascii="Open Sans" w:hAnsi="Open Sans" w:cs="Open Sans"/>
          <w:color w:val="262626" w:themeColor="text1"/>
        </w:rPr>
        <w:t>ccommodated in private re</w:t>
      </w:r>
      <w:r>
        <w:rPr>
          <w:rFonts w:ascii="Open Sans" w:hAnsi="Open Sans" w:cs="Open Sans"/>
          <w:color w:val="262626" w:themeColor="text1"/>
        </w:rPr>
        <w:t>ntal (out of area of residence</w:t>
      </w:r>
    </w:p>
    <w:p w14:paraId="024A7FC4" w14:textId="73EE98A3"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2 (1.1%) were a</w:t>
      </w:r>
      <w:r w:rsidR="00343AB3" w:rsidRPr="00343AB3">
        <w:rPr>
          <w:rFonts w:ascii="Open Sans" w:hAnsi="Open Sans" w:cs="Open Sans"/>
          <w:color w:val="262626" w:themeColor="text1"/>
        </w:rPr>
        <w:t>ble to return home after perp</w:t>
      </w:r>
      <w:r>
        <w:rPr>
          <w:rFonts w:ascii="Open Sans" w:hAnsi="Open Sans" w:cs="Open Sans"/>
          <w:color w:val="262626" w:themeColor="text1"/>
        </w:rPr>
        <w:t>etrator moved out/was removed</w:t>
      </w:r>
    </w:p>
    <w:p w14:paraId="7F144509" w14:textId="4C50240A"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2 (1.1%) were a</w:t>
      </w:r>
      <w:r w:rsidR="00343AB3" w:rsidRPr="00343AB3">
        <w:rPr>
          <w:rFonts w:ascii="Open Sans" w:hAnsi="Open Sans" w:cs="Open Sans"/>
          <w:color w:val="262626" w:themeColor="text1"/>
        </w:rPr>
        <w:t>ccommodated in private rent</w:t>
      </w:r>
      <w:r>
        <w:rPr>
          <w:rFonts w:ascii="Open Sans" w:hAnsi="Open Sans" w:cs="Open Sans"/>
          <w:color w:val="262626" w:themeColor="text1"/>
        </w:rPr>
        <w:t>al (in area of residence)</w:t>
      </w:r>
    </w:p>
    <w:p w14:paraId="47A979BF" w14:textId="2CB67788"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2 (1.1%) were a</w:t>
      </w:r>
      <w:r w:rsidR="00343AB3" w:rsidRPr="00343AB3">
        <w:rPr>
          <w:rFonts w:ascii="Open Sans" w:hAnsi="Open Sans" w:cs="Open Sans"/>
          <w:color w:val="262626" w:themeColor="text1"/>
        </w:rPr>
        <w:t>ccommodated by com</w:t>
      </w:r>
      <w:r>
        <w:rPr>
          <w:rFonts w:ascii="Open Sans" w:hAnsi="Open Sans" w:cs="Open Sans"/>
          <w:color w:val="262626" w:themeColor="text1"/>
        </w:rPr>
        <w:t>munity or religious group</w:t>
      </w:r>
    </w:p>
    <w:p w14:paraId="4BB06862" w14:textId="65D6664E"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1 (0.5%) was p</w:t>
      </w:r>
      <w:r w:rsidR="00343AB3" w:rsidRPr="00343AB3">
        <w:rPr>
          <w:rFonts w:ascii="Open Sans" w:hAnsi="Open Sans" w:cs="Open Sans"/>
          <w:color w:val="262626" w:themeColor="text1"/>
        </w:rPr>
        <w:t>aying to</w:t>
      </w:r>
      <w:r>
        <w:rPr>
          <w:rFonts w:ascii="Open Sans" w:hAnsi="Open Sans" w:cs="Open Sans"/>
          <w:color w:val="262626" w:themeColor="text1"/>
        </w:rPr>
        <w:t xml:space="preserve"> stay in B&amp;B or hotel or hostel</w:t>
      </w:r>
    </w:p>
    <w:p w14:paraId="49A142D4" w14:textId="0C54EDD4"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0 returned to perpetrator</w:t>
      </w:r>
      <w:r>
        <w:rPr>
          <w:rFonts w:ascii="Open Sans" w:hAnsi="Open Sans" w:cs="Open Sans"/>
          <w:color w:val="262626" w:themeColor="text1"/>
        </w:rPr>
        <w:tab/>
      </w:r>
    </w:p>
    <w:p w14:paraId="4A8DA6F1" w14:textId="41F45394" w:rsidR="00343AB3" w:rsidRPr="00343AB3"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0 were sleeping rough</w:t>
      </w:r>
    </w:p>
    <w:p w14:paraId="1BA8BDA9" w14:textId="69890C7E" w:rsidR="00511C9B" w:rsidRDefault="003614AA" w:rsidP="00343AB3">
      <w:pPr>
        <w:pStyle w:val="ListParagraph"/>
        <w:numPr>
          <w:ilvl w:val="0"/>
          <w:numId w:val="21"/>
        </w:numPr>
        <w:rPr>
          <w:rFonts w:ascii="Open Sans" w:hAnsi="Open Sans" w:cs="Open Sans"/>
          <w:color w:val="262626" w:themeColor="text1"/>
        </w:rPr>
      </w:pPr>
      <w:r>
        <w:rPr>
          <w:rFonts w:ascii="Open Sans" w:hAnsi="Open Sans" w:cs="Open Sans"/>
          <w:color w:val="262626" w:themeColor="text1"/>
        </w:rPr>
        <w:t>21 (11.4%)  experienced ano</w:t>
      </w:r>
      <w:r w:rsidR="00343AB3" w:rsidRPr="00343AB3">
        <w:rPr>
          <w:rFonts w:ascii="Open Sans" w:hAnsi="Open Sans" w:cs="Open Sans"/>
          <w:color w:val="262626" w:themeColor="text1"/>
        </w:rPr>
        <w:t>ther</w:t>
      </w:r>
      <w:r>
        <w:rPr>
          <w:rFonts w:ascii="Open Sans" w:hAnsi="Open Sans" w:cs="Open Sans"/>
          <w:color w:val="262626" w:themeColor="text1"/>
        </w:rPr>
        <w:t xml:space="preserve"> outcome</w:t>
      </w:r>
    </w:p>
    <w:p w14:paraId="7A0B3270" w14:textId="21F9D83B" w:rsidR="00895CE0" w:rsidRPr="003614AA" w:rsidRDefault="003614AA" w:rsidP="007E72F1">
      <w:pPr>
        <w:rPr>
          <w:rFonts w:ascii="Open Sans" w:hAnsi="Open Sans" w:cs="Open Sans"/>
          <w:color w:val="262626" w:themeColor="text1"/>
        </w:rPr>
      </w:pPr>
      <w:r>
        <w:rPr>
          <w:rFonts w:ascii="Open Sans" w:hAnsi="Open Sans" w:cs="Open Sans"/>
          <w:color w:val="262626" w:themeColor="text1"/>
        </w:rPr>
        <w:t>End of table data.</w:t>
      </w:r>
    </w:p>
    <w:p w14:paraId="0D93AFA0" w14:textId="77777777" w:rsidR="00642299" w:rsidRDefault="00642299" w:rsidP="007E72F1">
      <w:pPr>
        <w:rPr>
          <w:rFonts w:ascii="Open Sans" w:hAnsi="Open Sans" w:cs="Open Sans"/>
        </w:rPr>
      </w:pPr>
    </w:p>
    <w:p w14:paraId="1A9AFCA2" w14:textId="32FC213B" w:rsidR="0038546C" w:rsidRPr="00493AC6" w:rsidRDefault="0038546C" w:rsidP="007E72F1">
      <w:pPr>
        <w:rPr>
          <w:rFonts w:ascii="Open Sans" w:hAnsi="Open Sans" w:cs="Open Sans"/>
        </w:rPr>
      </w:pPr>
      <w:r w:rsidRPr="00493AC6">
        <w:rPr>
          <w:rFonts w:ascii="Open Sans" w:hAnsi="Open Sans" w:cs="Open Sans"/>
        </w:rPr>
        <w:t>One explanation for this change could be the statutory duty that the Domestic Abuse Act 2021 has pla</w:t>
      </w:r>
      <w:r w:rsidR="00FD04A0" w:rsidRPr="00493AC6">
        <w:rPr>
          <w:rFonts w:ascii="Open Sans" w:hAnsi="Open Sans" w:cs="Open Sans"/>
        </w:rPr>
        <w:t xml:space="preserve">ced on local authorities, </w:t>
      </w:r>
      <w:r w:rsidR="00CB25CE" w:rsidRPr="00493AC6">
        <w:rPr>
          <w:rFonts w:ascii="Open Sans" w:hAnsi="Open Sans" w:cs="Open Sans"/>
        </w:rPr>
        <w:t xml:space="preserve">meaning they are required to accommodate survivors </w:t>
      </w:r>
      <w:r w:rsidR="00DA7438" w:rsidRPr="00493AC6">
        <w:rPr>
          <w:rFonts w:ascii="Open Sans" w:hAnsi="Open Sans" w:cs="Open Sans"/>
        </w:rPr>
        <w:t>(including</w:t>
      </w:r>
      <w:r w:rsidR="00CB25CE" w:rsidRPr="00493AC6">
        <w:rPr>
          <w:rFonts w:ascii="Open Sans" w:hAnsi="Open Sans" w:cs="Open Sans"/>
        </w:rPr>
        <w:t xml:space="preserve"> children</w:t>
      </w:r>
      <w:r w:rsidR="00DA7438" w:rsidRPr="00493AC6">
        <w:rPr>
          <w:rFonts w:ascii="Open Sans" w:hAnsi="Open Sans" w:cs="Open Sans"/>
        </w:rPr>
        <w:t>)</w:t>
      </w:r>
      <w:r w:rsidR="00CB25CE" w:rsidRPr="00493AC6">
        <w:rPr>
          <w:rFonts w:ascii="Open Sans" w:hAnsi="Open Sans" w:cs="Open Sans"/>
        </w:rPr>
        <w:t xml:space="preserve"> regardless of whether they have a local connection (Home Office, 2022).</w:t>
      </w:r>
      <w:r w:rsidR="00897B1D" w:rsidRPr="00493AC6">
        <w:rPr>
          <w:rFonts w:ascii="Open Sans" w:hAnsi="Open Sans" w:cs="Open Sans"/>
        </w:rPr>
        <w:t xml:space="preserve"> </w:t>
      </w:r>
      <w:r w:rsidR="00C71D0D" w:rsidRPr="00493AC6">
        <w:rPr>
          <w:rFonts w:ascii="Open Sans" w:hAnsi="Open Sans" w:cs="Open Sans"/>
        </w:rPr>
        <w:t>This came into force on 1</w:t>
      </w:r>
      <w:r w:rsidR="00C71D0D" w:rsidRPr="00493AC6">
        <w:rPr>
          <w:rFonts w:ascii="Open Sans" w:hAnsi="Open Sans" w:cs="Open Sans"/>
          <w:vertAlign w:val="superscript"/>
        </w:rPr>
        <w:t>st</w:t>
      </w:r>
      <w:r w:rsidR="00C71D0D" w:rsidRPr="00493AC6">
        <w:rPr>
          <w:rFonts w:ascii="Open Sans" w:hAnsi="Open Sans" w:cs="Open Sans"/>
        </w:rPr>
        <w:t xml:space="preserve"> October 2021 (</w:t>
      </w:r>
      <w:r w:rsidR="00FC41F8" w:rsidRPr="00493AC6">
        <w:rPr>
          <w:rFonts w:ascii="Open Sans" w:hAnsi="Open Sans" w:cs="Open Sans"/>
        </w:rPr>
        <w:t>GOV UK, 2021</w:t>
      </w:r>
      <w:r w:rsidR="00C71D0D" w:rsidRPr="00493AC6">
        <w:rPr>
          <w:rFonts w:ascii="Open Sans" w:hAnsi="Open Sans" w:cs="Open Sans"/>
        </w:rPr>
        <w:t>)</w:t>
      </w:r>
      <w:r w:rsidR="00FC41F8" w:rsidRPr="00493AC6">
        <w:rPr>
          <w:rFonts w:ascii="Open Sans" w:hAnsi="Open Sans" w:cs="Open Sans"/>
        </w:rPr>
        <w:t xml:space="preserve">, and therefore only applies to three months of this reporting period. </w:t>
      </w:r>
      <w:r w:rsidR="00A72338" w:rsidRPr="00493AC6">
        <w:rPr>
          <w:rFonts w:ascii="Open Sans" w:hAnsi="Open Sans" w:cs="Open Sans"/>
        </w:rPr>
        <w:t xml:space="preserve">We do not yet know for certain how much of a difference the passing of </w:t>
      </w:r>
      <w:r w:rsidR="00A72338" w:rsidRPr="00493AC6">
        <w:rPr>
          <w:rFonts w:ascii="Open Sans" w:hAnsi="Open Sans" w:cs="Open Sans"/>
        </w:rPr>
        <w:lastRenderedPageBreak/>
        <w:t>th</w:t>
      </w:r>
      <w:r w:rsidR="00FC41F8" w:rsidRPr="00493AC6">
        <w:rPr>
          <w:rFonts w:ascii="Open Sans" w:hAnsi="Open Sans" w:cs="Open Sans"/>
        </w:rPr>
        <w:t>e statutory duty</w:t>
      </w:r>
      <w:r w:rsidR="00A72338" w:rsidRPr="00493AC6">
        <w:rPr>
          <w:rFonts w:ascii="Open Sans" w:hAnsi="Open Sans" w:cs="Open Sans"/>
        </w:rPr>
        <w:t xml:space="preserve"> has made to survivors and the services supporting them, however, the impact of the statutory duty is something we hope to explore in </w:t>
      </w:r>
      <w:r w:rsidR="007B4AC1" w:rsidRPr="00493AC6">
        <w:rPr>
          <w:rFonts w:ascii="Open Sans" w:hAnsi="Open Sans" w:cs="Open Sans"/>
        </w:rPr>
        <w:t>the upcoming report: The Domestic Abuse Report 2023: The Annual Audit.</w:t>
      </w:r>
      <w:r w:rsidR="00270E07" w:rsidRPr="00493AC6">
        <w:rPr>
          <w:rFonts w:ascii="Open Sans" w:hAnsi="Open Sans" w:cs="Open Sans"/>
        </w:rPr>
        <w:t xml:space="preserve"> Of course, under the Homelessness Code of Guidance, local authorities were obligated to recognise survivors and their children as having a priority need long before the Domestic Abuse Act cemented this (Home Office, 2022).</w:t>
      </w:r>
    </w:p>
    <w:p w14:paraId="46DA95C3" w14:textId="263D8586" w:rsidR="00406E88" w:rsidRPr="00493AC6" w:rsidRDefault="00C41B9B" w:rsidP="007E72F1">
      <w:pPr>
        <w:rPr>
          <w:rFonts w:ascii="Open Sans" w:hAnsi="Open Sans" w:cs="Open Sans"/>
          <w:lang w:val="en-US"/>
        </w:rPr>
      </w:pPr>
      <w:r w:rsidRPr="00493AC6">
        <w:rPr>
          <w:rFonts w:ascii="Open Sans" w:hAnsi="Open Sans" w:cs="Open Sans"/>
        </w:rPr>
        <w:t>I</w:t>
      </w:r>
      <w:r w:rsidR="00D17298" w:rsidRPr="00493AC6">
        <w:rPr>
          <w:rFonts w:ascii="Open Sans" w:hAnsi="Open Sans" w:cs="Open Sans"/>
        </w:rPr>
        <w:t xml:space="preserve">n addition to the number of women being </w:t>
      </w:r>
      <w:r w:rsidR="009A5D93" w:rsidRPr="00493AC6">
        <w:rPr>
          <w:rFonts w:ascii="Open Sans" w:hAnsi="Open Sans" w:cs="Open Sans"/>
        </w:rPr>
        <w:t>put up</w:t>
      </w:r>
      <w:r w:rsidR="00D17298" w:rsidRPr="00493AC6">
        <w:rPr>
          <w:rFonts w:ascii="Open Sans" w:hAnsi="Open Sans" w:cs="Open Sans"/>
        </w:rPr>
        <w:t xml:space="preserve"> in emergency accommodation</w:t>
      </w:r>
      <w:r w:rsidRPr="00493AC6">
        <w:rPr>
          <w:rFonts w:ascii="Open Sans" w:hAnsi="Open Sans" w:cs="Open Sans"/>
        </w:rPr>
        <w:t>, seven out of the 21 women in the ‘other’</w:t>
      </w:r>
      <w:r w:rsidR="00D17298" w:rsidRPr="00493AC6">
        <w:rPr>
          <w:rFonts w:ascii="Open Sans" w:hAnsi="Open Sans" w:cs="Open Sans"/>
        </w:rPr>
        <w:t xml:space="preserve"> category were</w:t>
      </w:r>
      <w:r w:rsidRPr="00493AC6">
        <w:rPr>
          <w:rFonts w:ascii="Open Sans" w:hAnsi="Open Sans" w:cs="Open Sans"/>
        </w:rPr>
        <w:t xml:space="preserve"> due to be moved by the council or into a form of social housing after the advocacy of the NWTA project</w:t>
      </w:r>
      <w:r w:rsidR="00D17298" w:rsidRPr="00493AC6">
        <w:rPr>
          <w:rFonts w:ascii="Open Sans" w:hAnsi="Open Sans" w:cs="Open Sans"/>
        </w:rPr>
        <w:t xml:space="preserve"> at the time of case closure</w:t>
      </w:r>
      <w:r w:rsidRPr="00493AC6">
        <w:rPr>
          <w:rFonts w:ascii="Open Sans" w:hAnsi="Open Sans" w:cs="Open Sans"/>
        </w:rPr>
        <w:t xml:space="preserve">. </w:t>
      </w:r>
      <w:r w:rsidR="4B940BFA" w:rsidRPr="00493AC6">
        <w:rPr>
          <w:rFonts w:ascii="Open Sans" w:hAnsi="Open Sans" w:cs="Open Sans"/>
          <w:lang w:val="en-US"/>
        </w:rPr>
        <w:t>T</w:t>
      </w:r>
      <w:r w:rsidR="515B3633" w:rsidRPr="00493AC6">
        <w:rPr>
          <w:rFonts w:ascii="Open Sans" w:hAnsi="Open Sans" w:cs="Open Sans"/>
          <w:lang w:val="en-US"/>
        </w:rPr>
        <w:t>wo</w:t>
      </w:r>
      <w:r w:rsidR="4B940BFA" w:rsidRPr="00493AC6">
        <w:rPr>
          <w:rFonts w:ascii="Open Sans" w:hAnsi="Open Sans" w:cs="Open Sans"/>
          <w:lang w:val="en-US"/>
        </w:rPr>
        <w:t xml:space="preserve"> women were able to stay in their</w:t>
      </w:r>
      <w:r w:rsidR="004A44F2" w:rsidRPr="00493AC6">
        <w:rPr>
          <w:rFonts w:ascii="Open Sans" w:hAnsi="Open Sans" w:cs="Open Sans"/>
          <w:lang w:val="en-US"/>
        </w:rPr>
        <w:t xml:space="preserve"> previous home</w:t>
      </w:r>
      <w:r w:rsidR="4B940BFA" w:rsidRPr="00493AC6">
        <w:rPr>
          <w:rFonts w:ascii="Open Sans" w:hAnsi="Open Sans" w:cs="Open Sans"/>
          <w:lang w:val="en-US"/>
        </w:rPr>
        <w:t xml:space="preserve"> after </w:t>
      </w:r>
      <w:r w:rsidR="229D05FB" w:rsidRPr="00493AC6">
        <w:rPr>
          <w:rFonts w:ascii="Open Sans" w:hAnsi="Open Sans" w:cs="Open Sans"/>
          <w:lang w:val="en-US"/>
        </w:rPr>
        <w:t xml:space="preserve">the </w:t>
      </w:r>
      <w:r w:rsidR="4B940BFA" w:rsidRPr="00493AC6">
        <w:rPr>
          <w:rFonts w:ascii="Open Sans" w:hAnsi="Open Sans" w:cs="Open Sans"/>
          <w:lang w:val="en-US"/>
        </w:rPr>
        <w:t>p</w:t>
      </w:r>
      <w:r w:rsidR="515B3633" w:rsidRPr="00493AC6">
        <w:rPr>
          <w:rFonts w:ascii="Open Sans" w:hAnsi="Open Sans" w:cs="Open Sans"/>
          <w:lang w:val="en-US"/>
        </w:rPr>
        <w:t>erp</w:t>
      </w:r>
      <w:r w:rsidR="229D05FB" w:rsidRPr="00493AC6">
        <w:rPr>
          <w:rFonts w:ascii="Open Sans" w:hAnsi="Open Sans" w:cs="Open Sans"/>
          <w:lang w:val="en-US"/>
        </w:rPr>
        <w:t>etrator</w:t>
      </w:r>
      <w:r w:rsidR="515B3633" w:rsidRPr="00493AC6">
        <w:rPr>
          <w:rFonts w:ascii="Open Sans" w:hAnsi="Open Sans" w:cs="Open Sans"/>
          <w:lang w:val="en-US"/>
        </w:rPr>
        <w:t xml:space="preserve"> </w:t>
      </w:r>
      <w:r w:rsidR="6B0D6B04" w:rsidRPr="00493AC6">
        <w:rPr>
          <w:rFonts w:ascii="Open Sans" w:hAnsi="Open Sans" w:cs="Open Sans"/>
          <w:lang w:val="en-US"/>
        </w:rPr>
        <w:t>was removed</w:t>
      </w:r>
      <w:r w:rsidR="229D05FB" w:rsidRPr="00493AC6">
        <w:rPr>
          <w:rFonts w:ascii="Open Sans" w:hAnsi="Open Sans" w:cs="Open Sans"/>
          <w:lang w:val="en-US"/>
        </w:rPr>
        <w:t xml:space="preserve"> from the family home,</w:t>
      </w:r>
      <w:r w:rsidR="6B0D6B04" w:rsidRPr="00493AC6">
        <w:rPr>
          <w:rFonts w:ascii="Open Sans" w:hAnsi="Open Sans" w:cs="Open Sans"/>
          <w:lang w:val="en-US"/>
        </w:rPr>
        <w:t xml:space="preserve"> or </w:t>
      </w:r>
      <w:r w:rsidR="229D05FB" w:rsidRPr="00493AC6">
        <w:rPr>
          <w:rFonts w:ascii="Open Sans" w:hAnsi="Open Sans" w:cs="Open Sans"/>
          <w:lang w:val="en-US"/>
        </w:rPr>
        <w:t xml:space="preserve">in one case decided to move out. One of these women had two children, and the other had four. </w:t>
      </w:r>
      <w:r w:rsidR="00501E15" w:rsidRPr="00493AC6">
        <w:rPr>
          <w:rFonts w:ascii="Open Sans" w:hAnsi="Open Sans" w:cs="Open Sans"/>
          <w:lang w:val="en-US"/>
        </w:rPr>
        <w:t xml:space="preserve">This meant </w:t>
      </w:r>
      <w:r w:rsidR="001F1266" w:rsidRPr="00493AC6">
        <w:rPr>
          <w:rFonts w:ascii="Open Sans" w:hAnsi="Open Sans" w:cs="Open Sans"/>
          <w:lang w:val="en-US"/>
        </w:rPr>
        <w:t xml:space="preserve">that the </w:t>
      </w:r>
      <w:r w:rsidR="00501E15" w:rsidRPr="00493AC6">
        <w:rPr>
          <w:rFonts w:ascii="Open Sans" w:hAnsi="Open Sans" w:cs="Open Sans"/>
          <w:lang w:val="en-US"/>
        </w:rPr>
        <w:t xml:space="preserve">women </w:t>
      </w:r>
      <w:r w:rsidR="001F1266" w:rsidRPr="00493AC6">
        <w:rPr>
          <w:rFonts w:ascii="Open Sans" w:hAnsi="Open Sans" w:cs="Open Sans"/>
          <w:lang w:val="en-US"/>
        </w:rPr>
        <w:t xml:space="preserve">and their children were able to stay in the same area with their support networks and school, a scenario </w:t>
      </w:r>
      <w:r w:rsidR="006B3838" w:rsidRPr="00493AC6">
        <w:rPr>
          <w:rFonts w:ascii="Open Sans" w:hAnsi="Open Sans" w:cs="Open Sans"/>
          <w:lang w:val="en-US"/>
        </w:rPr>
        <w:t>we rarely hear of when it comes to fleeing abuse. Unfortunately, this can bring with it ongoing harassment and abuse from the perpetrator</w:t>
      </w:r>
      <w:r w:rsidR="00501E15" w:rsidRPr="00493AC6">
        <w:rPr>
          <w:rFonts w:ascii="Open Sans" w:hAnsi="Open Sans" w:cs="Open Sans"/>
          <w:lang w:val="en-US"/>
        </w:rPr>
        <w:t xml:space="preserve"> (and sometimes also from his friends and family)</w:t>
      </w:r>
      <w:r w:rsidR="000371CF" w:rsidRPr="00493AC6">
        <w:rPr>
          <w:rFonts w:ascii="Open Sans" w:hAnsi="Open Sans" w:cs="Open Sans"/>
          <w:lang w:val="en-US"/>
        </w:rPr>
        <w:t xml:space="preserve">. </w:t>
      </w:r>
      <w:r w:rsidR="006B3838" w:rsidRPr="00493AC6">
        <w:rPr>
          <w:rFonts w:ascii="Open Sans" w:hAnsi="Open Sans" w:cs="Open Sans"/>
          <w:lang w:val="en-US"/>
        </w:rPr>
        <w:t xml:space="preserve">We hope that these survivors and their children </w:t>
      </w:r>
      <w:r w:rsidR="000371CF" w:rsidRPr="00493AC6">
        <w:rPr>
          <w:rFonts w:ascii="Open Sans" w:hAnsi="Open Sans" w:cs="Open Sans"/>
          <w:lang w:val="en-US"/>
        </w:rPr>
        <w:t>are still</w:t>
      </w:r>
      <w:r w:rsidR="006B3838" w:rsidRPr="00493AC6">
        <w:rPr>
          <w:rFonts w:ascii="Open Sans" w:hAnsi="Open Sans" w:cs="Open Sans"/>
          <w:lang w:val="en-US"/>
        </w:rPr>
        <w:t xml:space="preserve"> safe </w:t>
      </w:r>
      <w:r w:rsidR="000371CF" w:rsidRPr="00493AC6">
        <w:rPr>
          <w:rFonts w:ascii="Open Sans" w:hAnsi="Open Sans" w:cs="Open Sans"/>
          <w:lang w:val="en-US"/>
        </w:rPr>
        <w:t xml:space="preserve">and receiving the </w:t>
      </w:r>
      <w:r w:rsidR="006B3838" w:rsidRPr="00493AC6">
        <w:rPr>
          <w:rFonts w:ascii="Open Sans" w:hAnsi="Open Sans" w:cs="Open Sans"/>
          <w:lang w:val="en-US"/>
        </w:rPr>
        <w:t xml:space="preserve">ongoing support of the local domestic abuse services. </w:t>
      </w:r>
      <w:r w:rsidR="000371CF" w:rsidRPr="00493AC6">
        <w:rPr>
          <w:rFonts w:ascii="Open Sans" w:hAnsi="Open Sans" w:cs="Open Sans"/>
          <w:lang w:val="en-US"/>
        </w:rPr>
        <w:t xml:space="preserve">If this is not the case, </w:t>
      </w:r>
      <w:r w:rsidR="00501E15" w:rsidRPr="00493AC6">
        <w:rPr>
          <w:rFonts w:ascii="Open Sans" w:hAnsi="Open Sans" w:cs="Open Sans"/>
          <w:lang w:val="en-US"/>
        </w:rPr>
        <w:t xml:space="preserve">we have let survivors know that they </w:t>
      </w:r>
      <w:r w:rsidR="000371CF" w:rsidRPr="00493AC6">
        <w:rPr>
          <w:rFonts w:ascii="Open Sans" w:hAnsi="Open Sans" w:cs="Open Sans"/>
          <w:lang w:val="en-US"/>
        </w:rPr>
        <w:t xml:space="preserve">can get back in touch with the NWTA project through the Women’s </w:t>
      </w:r>
      <w:r w:rsidR="000371CF" w:rsidRPr="00493AC6">
        <w:rPr>
          <w:rFonts w:ascii="Open Sans" w:hAnsi="Open Sans" w:cs="Open Sans"/>
          <w:lang w:val="en-US"/>
        </w:rPr>
        <w:lastRenderedPageBreak/>
        <w:t xml:space="preserve">Aid Live Chat service and be supported again, as other survivors have done </w:t>
      </w:r>
      <w:r w:rsidR="00501E15" w:rsidRPr="00493AC6">
        <w:rPr>
          <w:rFonts w:ascii="Open Sans" w:hAnsi="Open Sans" w:cs="Open Sans"/>
          <w:lang w:val="en-US"/>
        </w:rPr>
        <w:t>in the past</w:t>
      </w:r>
      <w:r w:rsidR="000371CF" w:rsidRPr="00493AC6">
        <w:rPr>
          <w:rFonts w:ascii="Open Sans" w:hAnsi="Open Sans" w:cs="Open Sans"/>
          <w:lang w:val="en-US"/>
        </w:rPr>
        <w:t>.</w:t>
      </w:r>
    </w:p>
    <w:p w14:paraId="4AB03B8C" w14:textId="77777777" w:rsidR="005F3254" w:rsidRPr="00493AC6" w:rsidRDefault="005F3254" w:rsidP="007E72F1">
      <w:pPr>
        <w:rPr>
          <w:rFonts w:ascii="Open Sans" w:hAnsi="Open Sans" w:cs="Open Sans"/>
          <w:lang w:val="en-US"/>
        </w:rPr>
      </w:pPr>
    </w:p>
    <w:p w14:paraId="65E93E4D" w14:textId="77777777" w:rsidR="005F3254" w:rsidRPr="00B23F7F" w:rsidRDefault="005F3254" w:rsidP="00B23F7F">
      <w:pPr>
        <w:pStyle w:val="Heading2"/>
      </w:pPr>
      <w:bookmarkStart w:id="52" w:name="_Toc104535772"/>
      <w:r w:rsidRPr="00B23F7F">
        <w:t>Inequalities in refuge provision</w:t>
      </w:r>
      <w:bookmarkEnd w:id="52"/>
    </w:p>
    <w:p w14:paraId="40080503" w14:textId="77777777" w:rsidR="00255402" w:rsidRPr="00493AC6" w:rsidRDefault="00255402" w:rsidP="007E72F1">
      <w:pPr>
        <w:rPr>
          <w:rFonts w:ascii="Open Sans" w:hAnsi="Open Sans" w:cs="Open Sans"/>
          <w:lang w:val="en-US"/>
        </w:rPr>
      </w:pPr>
      <w:r w:rsidRPr="00493AC6">
        <w:rPr>
          <w:rFonts w:ascii="Open Sans" w:hAnsi="Open Sans" w:cs="Open Sans"/>
          <w:lang w:val="en-US"/>
        </w:rPr>
        <w:t xml:space="preserve">Table 8 details the </w:t>
      </w:r>
      <w:r w:rsidR="00A8531C" w:rsidRPr="00493AC6">
        <w:rPr>
          <w:rFonts w:ascii="Open Sans" w:hAnsi="Open Sans" w:cs="Open Sans"/>
          <w:lang w:val="en-US"/>
        </w:rPr>
        <w:t xml:space="preserve">end </w:t>
      </w:r>
      <w:r w:rsidRPr="00493AC6">
        <w:rPr>
          <w:rFonts w:ascii="Open Sans" w:hAnsi="Open Sans" w:cs="Open Sans"/>
          <w:lang w:val="en-US"/>
        </w:rPr>
        <w:t xml:space="preserve">outcomes for survivors </w:t>
      </w:r>
      <w:r w:rsidR="00A8531C" w:rsidRPr="00493AC6">
        <w:rPr>
          <w:rFonts w:ascii="Open Sans" w:hAnsi="Open Sans" w:cs="Open Sans"/>
          <w:lang w:val="en-US"/>
        </w:rPr>
        <w:t xml:space="preserve">supported by the NWTA project </w:t>
      </w:r>
      <w:r w:rsidR="00875644" w:rsidRPr="00493AC6">
        <w:rPr>
          <w:rFonts w:ascii="Open Sans" w:hAnsi="Open Sans" w:cs="Open Sans"/>
          <w:lang w:val="en-US"/>
        </w:rPr>
        <w:t xml:space="preserve">by </w:t>
      </w:r>
      <w:r w:rsidR="005F3254" w:rsidRPr="00493AC6">
        <w:rPr>
          <w:rFonts w:ascii="Open Sans" w:hAnsi="Open Sans" w:cs="Open Sans"/>
          <w:lang w:val="en-US"/>
        </w:rPr>
        <w:t xml:space="preserve">the reason they were referred. As reported in previous Nowhere to Turn reports, there continue to be inequalities </w:t>
      </w:r>
      <w:r w:rsidR="000677F1" w:rsidRPr="00493AC6">
        <w:rPr>
          <w:rFonts w:ascii="Open Sans" w:hAnsi="Open Sans" w:cs="Open Sans"/>
          <w:lang w:val="en-US"/>
        </w:rPr>
        <w:t xml:space="preserve">in refuge access depending upon a survivor’s specific characteristics and circumstances. Women who had one or more disabilities, women with older male children, and women with four or more children found it the hardest to find a suitable refuge space. </w:t>
      </w:r>
    </w:p>
    <w:p w14:paraId="0EB5134B" w14:textId="545F4A98" w:rsidR="00FC5DD3" w:rsidRPr="00493AC6" w:rsidRDefault="00834A1C" w:rsidP="007E72F1">
      <w:pPr>
        <w:rPr>
          <w:rFonts w:ascii="Open Sans" w:hAnsi="Open Sans" w:cs="Open Sans"/>
          <w:lang w:val="en-US"/>
        </w:rPr>
      </w:pPr>
      <w:r w:rsidRPr="00493AC6">
        <w:rPr>
          <w:rFonts w:ascii="Open Sans" w:hAnsi="Open Sans" w:cs="Open Sans"/>
          <w:lang w:val="en-US"/>
        </w:rPr>
        <w:t>None of the 14 women with multiple disabilities were accommodated in a suitable refuge</w:t>
      </w:r>
      <w:r w:rsidR="00CD74FC" w:rsidRPr="00493AC6">
        <w:rPr>
          <w:rFonts w:ascii="Open Sans" w:hAnsi="Open Sans" w:cs="Open Sans"/>
          <w:lang w:val="en-US"/>
        </w:rPr>
        <w:t xml:space="preserve"> after being supported by the NWTA project</w:t>
      </w:r>
      <w:r w:rsidRPr="00493AC6">
        <w:rPr>
          <w:rFonts w:ascii="Open Sans" w:hAnsi="Open Sans" w:cs="Open Sans"/>
          <w:lang w:val="en-US"/>
        </w:rPr>
        <w:t xml:space="preserve">. </w:t>
      </w:r>
      <w:r w:rsidR="00B06389" w:rsidRPr="00493AC6">
        <w:rPr>
          <w:rFonts w:ascii="Open Sans" w:hAnsi="Open Sans" w:cs="Open Sans"/>
          <w:lang w:val="en-US"/>
        </w:rPr>
        <w:t xml:space="preserve">However, </w:t>
      </w:r>
      <w:r w:rsidR="004C7923" w:rsidRPr="00493AC6">
        <w:rPr>
          <w:rFonts w:ascii="Open Sans" w:hAnsi="Open Sans" w:cs="Open Sans"/>
          <w:lang w:val="en-US"/>
        </w:rPr>
        <w:t>seven</w:t>
      </w:r>
      <w:r w:rsidR="00B06389" w:rsidRPr="00493AC6">
        <w:rPr>
          <w:rFonts w:ascii="Open Sans" w:hAnsi="Open Sans" w:cs="Open Sans"/>
          <w:lang w:val="en-US"/>
        </w:rPr>
        <w:t xml:space="preserve"> of these women, including Lucy (page</w:t>
      </w:r>
      <w:r w:rsidR="004C5F2B" w:rsidRPr="00493AC6">
        <w:rPr>
          <w:rFonts w:ascii="Open Sans" w:hAnsi="Open Sans" w:cs="Open Sans"/>
          <w:lang w:val="en-US"/>
        </w:rPr>
        <w:t xml:space="preserve"> </w:t>
      </w:r>
      <w:r w:rsidR="003561CD">
        <w:rPr>
          <w:rFonts w:ascii="Open Sans" w:hAnsi="Open Sans" w:cs="Open Sans"/>
          <w:lang w:val="en-US"/>
        </w:rPr>
        <w:t>2</w:t>
      </w:r>
      <w:r w:rsidR="008339E6">
        <w:rPr>
          <w:rFonts w:ascii="Open Sans" w:hAnsi="Open Sans" w:cs="Open Sans"/>
          <w:lang w:val="en-US"/>
        </w:rPr>
        <w:t>1</w:t>
      </w:r>
      <w:r w:rsidR="00B06389" w:rsidRPr="00493AC6">
        <w:rPr>
          <w:rFonts w:ascii="Open Sans" w:hAnsi="Open Sans" w:cs="Open Sans"/>
          <w:lang w:val="en-US"/>
        </w:rPr>
        <w:t xml:space="preserve">) were supported to find alternative accommodation, including local authority temporary accommodation, housing association, or community supported accommodation. </w:t>
      </w:r>
      <w:r w:rsidR="00FC5DD3" w:rsidRPr="00493AC6">
        <w:rPr>
          <w:rFonts w:ascii="Open Sans" w:hAnsi="Open Sans" w:cs="Open Sans"/>
          <w:lang w:val="en-US"/>
        </w:rPr>
        <w:t>Unfortunately, for three of these 14 women, the NWTA practitioner had to close the case not knowing what had happened after no longer being able to contact the survivor.</w:t>
      </w:r>
    </w:p>
    <w:p w14:paraId="53B1D77F" w14:textId="5BA550A3" w:rsidR="00F926CE" w:rsidRPr="00493AC6" w:rsidRDefault="00F926CE" w:rsidP="007E72F1">
      <w:pPr>
        <w:rPr>
          <w:rFonts w:ascii="Open Sans" w:hAnsi="Open Sans" w:cs="Open Sans"/>
          <w:lang w:val="en-US"/>
        </w:rPr>
      </w:pPr>
      <w:r w:rsidRPr="00493AC6">
        <w:rPr>
          <w:rFonts w:ascii="Open Sans" w:hAnsi="Open Sans" w:cs="Open Sans"/>
          <w:lang w:val="en-US"/>
        </w:rPr>
        <w:t xml:space="preserve">Only one of the women referred on the basis of four or more children was accommodated in a suitable refuge space, along with only one of the women referred due to having an older male child. </w:t>
      </w:r>
      <w:r w:rsidRPr="00493AC6">
        <w:rPr>
          <w:rFonts w:ascii="Open Sans" w:hAnsi="Open Sans" w:cs="Open Sans"/>
          <w:lang w:val="en-US"/>
        </w:rPr>
        <w:lastRenderedPageBreak/>
        <w:t xml:space="preserve">This demonstrates the limited refuge provision for large families and those with teenage children. </w:t>
      </w:r>
    </w:p>
    <w:p w14:paraId="68A50644" w14:textId="1BC98931" w:rsidR="00844810" w:rsidRDefault="00F926CE" w:rsidP="007E72F1">
      <w:pPr>
        <w:rPr>
          <w:rFonts w:ascii="Open Sans" w:hAnsi="Open Sans" w:cs="Open Sans"/>
          <w:lang w:val="en-US"/>
        </w:rPr>
      </w:pPr>
      <w:r w:rsidRPr="00493AC6">
        <w:rPr>
          <w:rFonts w:ascii="Open Sans" w:hAnsi="Open Sans" w:cs="Open Sans"/>
          <w:lang w:val="en-US"/>
        </w:rPr>
        <w:t>Despite the high proportion of women referred on the basis of NRPF, many of whom enter the NWTA project believing they are not entitled to state benefits (</w:t>
      </w:r>
      <w:r w:rsidR="00ED5EEE" w:rsidRPr="00493AC6">
        <w:rPr>
          <w:rFonts w:ascii="Open Sans" w:hAnsi="Open Sans" w:cs="Open Sans"/>
          <w:lang w:val="en-US"/>
        </w:rPr>
        <w:t>see interview with Priya, page</w:t>
      </w:r>
      <w:r w:rsidR="003561CD">
        <w:rPr>
          <w:rFonts w:ascii="Open Sans" w:hAnsi="Open Sans" w:cs="Open Sans"/>
          <w:lang w:val="en-US"/>
        </w:rPr>
        <w:t xml:space="preserve"> </w:t>
      </w:r>
      <w:r w:rsidR="008339E6">
        <w:rPr>
          <w:rFonts w:ascii="Open Sans" w:hAnsi="Open Sans" w:cs="Open Sans"/>
          <w:lang w:val="en-US"/>
        </w:rPr>
        <w:t>68</w:t>
      </w:r>
      <w:r w:rsidRPr="00493AC6">
        <w:rPr>
          <w:rFonts w:ascii="Open Sans" w:hAnsi="Open Sans" w:cs="Open Sans"/>
          <w:lang w:val="en-US"/>
        </w:rPr>
        <w:t xml:space="preserve">), 31.7% were supported to find suitable refuge accommodation by the NWTA project. </w:t>
      </w:r>
    </w:p>
    <w:p w14:paraId="0D3548FF" w14:textId="659BDA90" w:rsidR="003614AA" w:rsidRDefault="003614AA" w:rsidP="007E72F1">
      <w:pPr>
        <w:rPr>
          <w:rFonts w:ascii="Open Sans" w:hAnsi="Open Sans" w:cs="Open Sans"/>
          <w:lang w:val="en-US"/>
        </w:rPr>
      </w:pPr>
    </w:p>
    <w:p w14:paraId="271CAF10" w14:textId="3AB94CB7" w:rsidR="003614AA" w:rsidRDefault="003614AA" w:rsidP="003614AA">
      <w:pPr>
        <w:pStyle w:val="Heading3"/>
        <w:rPr>
          <w:lang w:val="en-US"/>
        </w:rPr>
      </w:pPr>
      <w:r>
        <w:rPr>
          <w:lang w:val="en-US"/>
        </w:rPr>
        <w:t>Table 8: Proportion of women with different support needs who were accommodated in a suitable refuge</w:t>
      </w:r>
    </w:p>
    <w:p w14:paraId="24666D4B" w14:textId="77777777" w:rsidR="003614AA" w:rsidRDefault="003614AA" w:rsidP="003614AA">
      <w:r w:rsidRPr="00493AC6">
        <w:t xml:space="preserve">Please note that this is a text version of a table depicting the same </w:t>
      </w:r>
      <w:r>
        <w:t>data</w:t>
      </w:r>
      <w:r w:rsidRPr="00493AC6">
        <w:t xml:space="preserve">. </w:t>
      </w:r>
      <w:r>
        <w:t>You can view this data in table format in the PDF version of this report, available on the Women’s Aid Evidence Hub.</w:t>
      </w:r>
    </w:p>
    <w:p w14:paraId="087BADB1" w14:textId="076BF318" w:rsidR="003614AA" w:rsidRDefault="003614AA" w:rsidP="003614AA">
      <w:r>
        <w:t>Below is a list of the proportion of women with different support needs who were accommodated in a suitable refuge.</w:t>
      </w:r>
    </w:p>
    <w:p w14:paraId="1DFA05D0" w14:textId="14613D1F" w:rsidR="003614AA" w:rsidRDefault="003614AA" w:rsidP="003614AA">
      <w:pPr>
        <w:pStyle w:val="ListParagraph"/>
        <w:numPr>
          <w:ilvl w:val="0"/>
          <w:numId w:val="22"/>
        </w:numPr>
      </w:pPr>
      <w:r>
        <w:t>Women with some language support needs</w:t>
      </w:r>
      <w:r>
        <w:rPr>
          <w:rStyle w:val="FootnoteReference"/>
        </w:rPr>
        <w:footnoteReference w:id="47"/>
      </w:r>
      <w:r>
        <w:t>: 12 out of 25 (48%)</w:t>
      </w:r>
    </w:p>
    <w:p w14:paraId="77CD8096" w14:textId="7B3FCFFA" w:rsidR="00B358D8" w:rsidRDefault="00B358D8" w:rsidP="00B358D8">
      <w:pPr>
        <w:pStyle w:val="ListParagraph"/>
        <w:numPr>
          <w:ilvl w:val="0"/>
          <w:numId w:val="22"/>
        </w:numPr>
      </w:pPr>
      <w:r>
        <w:t>Women who had no recourse to public funds (NRPF): 20 out of 63 (31.7%)</w:t>
      </w:r>
    </w:p>
    <w:p w14:paraId="21CAF141" w14:textId="64AA8997" w:rsidR="00B358D8" w:rsidRDefault="00B358D8" w:rsidP="00B358D8">
      <w:pPr>
        <w:pStyle w:val="ListParagraph"/>
        <w:numPr>
          <w:ilvl w:val="0"/>
          <w:numId w:val="22"/>
        </w:numPr>
      </w:pPr>
      <w:r>
        <w:t>Women with an offending history: 6 out of 19 (31.6%)</w:t>
      </w:r>
    </w:p>
    <w:p w14:paraId="019620B6" w14:textId="688965EA" w:rsidR="00B358D8" w:rsidRDefault="00B358D8" w:rsidP="00B358D8">
      <w:pPr>
        <w:pStyle w:val="ListParagraph"/>
        <w:numPr>
          <w:ilvl w:val="0"/>
          <w:numId w:val="22"/>
        </w:numPr>
      </w:pPr>
      <w:r>
        <w:t>Women who were tied to their local area: 6 out of 22 (27.3%)</w:t>
      </w:r>
    </w:p>
    <w:p w14:paraId="77718E47" w14:textId="10A4A14C" w:rsidR="00B358D8" w:rsidRDefault="00B358D8" w:rsidP="00B358D8">
      <w:pPr>
        <w:pStyle w:val="ListParagraph"/>
        <w:numPr>
          <w:ilvl w:val="0"/>
          <w:numId w:val="22"/>
        </w:numPr>
      </w:pPr>
      <w:r>
        <w:lastRenderedPageBreak/>
        <w:t>Women previously evicted from refuge: 1 out of 4 (25.0%)</w:t>
      </w:r>
    </w:p>
    <w:p w14:paraId="5A6C216B" w14:textId="0A592479" w:rsidR="00B358D8" w:rsidRDefault="00B358D8" w:rsidP="00B358D8">
      <w:pPr>
        <w:pStyle w:val="ListParagraph"/>
        <w:numPr>
          <w:ilvl w:val="0"/>
          <w:numId w:val="22"/>
        </w:numPr>
      </w:pPr>
      <w:r>
        <w:t>Women with substance use support needs – alcohol or drugs: 8 out of 33 (24.2%)</w:t>
      </w:r>
    </w:p>
    <w:p w14:paraId="014AF358" w14:textId="6836DA77" w:rsidR="00B358D8" w:rsidRDefault="00B358D8" w:rsidP="00B358D8">
      <w:pPr>
        <w:pStyle w:val="ListParagraph"/>
        <w:numPr>
          <w:ilvl w:val="0"/>
          <w:numId w:val="22"/>
        </w:numPr>
      </w:pPr>
      <w:r>
        <w:t>Women with mental health support needs: 16 out of 77 (20.8%)</w:t>
      </w:r>
    </w:p>
    <w:p w14:paraId="336638E8" w14:textId="7C7B1A01" w:rsidR="00B358D8" w:rsidRDefault="00B358D8" w:rsidP="00B358D8">
      <w:pPr>
        <w:pStyle w:val="ListParagraph"/>
        <w:numPr>
          <w:ilvl w:val="0"/>
          <w:numId w:val="22"/>
        </w:numPr>
      </w:pPr>
      <w:r>
        <w:t>Women who had one or more disability</w:t>
      </w:r>
      <w:r>
        <w:rPr>
          <w:rStyle w:val="FootnoteReference"/>
        </w:rPr>
        <w:footnoteReference w:id="48"/>
      </w:r>
      <w:r>
        <w:t>: 4 out of 38 (10.5%)</w:t>
      </w:r>
    </w:p>
    <w:p w14:paraId="73A1F020" w14:textId="4AB39A31" w:rsidR="00B358D8" w:rsidRDefault="00B358D8" w:rsidP="00B358D8">
      <w:pPr>
        <w:pStyle w:val="ListParagraph"/>
        <w:numPr>
          <w:ilvl w:val="0"/>
          <w:numId w:val="22"/>
        </w:numPr>
      </w:pPr>
      <w:r>
        <w:t>Women with older male children: 1 out of 17 (5.9%)</w:t>
      </w:r>
    </w:p>
    <w:p w14:paraId="2685EAC8" w14:textId="3116E35D" w:rsidR="00B358D8" w:rsidRDefault="00B358D8" w:rsidP="00B358D8">
      <w:pPr>
        <w:pStyle w:val="ListParagraph"/>
        <w:numPr>
          <w:ilvl w:val="0"/>
          <w:numId w:val="22"/>
        </w:numPr>
      </w:pPr>
      <w:r>
        <w:t>Women with 4+ children: 1 out of 19 (5.3%)</w:t>
      </w:r>
    </w:p>
    <w:p w14:paraId="71728E06" w14:textId="253EE5FE" w:rsidR="003614AA" w:rsidRPr="00B358D8" w:rsidRDefault="00B358D8" w:rsidP="00B358D8">
      <w:pPr>
        <w:pStyle w:val="ListParagraph"/>
        <w:numPr>
          <w:ilvl w:val="0"/>
          <w:numId w:val="22"/>
        </w:numPr>
        <w:rPr>
          <w:b/>
          <w:bCs/>
        </w:rPr>
      </w:pPr>
      <w:r w:rsidRPr="00B358D8">
        <w:rPr>
          <w:b/>
          <w:bCs/>
        </w:rPr>
        <w:t>Overall: 47 out of 184 (25.5%)</w:t>
      </w:r>
    </w:p>
    <w:p w14:paraId="0E4D01B0" w14:textId="25B44EF6" w:rsidR="00511C9B" w:rsidRDefault="00B358D8" w:rsidP="007E72F1">
      <w:r>
        <w:t>End of table data.</w:t>
      </w:r>
    </w:p>
    <w:p w14:paraId="1145FF33" w14:textId="77777777" w:rsidR="00642299" w:rsidRPr="00493AC6" w:rsidRDefault="00642299" w:rsidP="007E72F1">
      <w:pPr>
        <w:rPr>
          <w:rFonts w:ascii="Open Sans" w:hAnsi="Open Sans" w:cs="Open Sans"/>
          <w:lang w:val="en-US"/>
        </w:rPr>
      </w:pPr>
    </w:p>
    <w:p w14:paraId="3B467955" w14:textId="5A7A6D5C" w:rsidR="007B4AC1" w:rsidRPr="00493AC6" w:rsidRDefault="007B4AC1" w:rsidP="007E72F1">
      <w:pPr>
        <w:rPr>
          <w:rFonts w:ascii="Open Sans" w:hAnsi="Open Sans" w:cs="Open Sans"/>
        </w:rPr>
      </w:pPr>
      <w:r w:rsidRPr="00493AC6">
        <w:rPr>
          <w:rFonts w:ascii="Open Sans" w:hAnsi="Open Sans" w:cs="Open Sans"/>
          <w:lang w:val="en-US"/>
        </w:rPr>
        <w:t>Whilst survivors referred on the basis of one support need were accommodated in refuge in 28.0% of cases (21 out of 75 women) and survivors referred for two reasons were accommodated in 26.8% of cases (19 out of 71 women), survivors who were referred for three or more reasons were only accommodated in a suitable refuge space in 18.4% of cases (7 out of 38 women). This demonstrates how those survivors</w:t>
      </w:r>
      <w:r w:rsidRPr="00493AC6">
        <w:rPr>
          <w:rFonts w:ascii="Open Sans" w:hAnsi="Open Sans" w:cs="Open Sans"/>
        </w:rPr>
        <w:t xml:space="preserve"> who faced a multitude of barriers and systemic inequalities found it particularly difficult to find a suitable refuge space, and how inequalities in refuge provision disproportionately impacts the most vulnerable survivors.</w:t>
      </w:r>
    </w:p>
    <w:p w14:paraId="19A974CB" w14:textId="77777777" w:rsidR="00511C9B" w:rsidRPr="00493AC6" w:rsidRDefault="00511C9B" w:rsidP="007E72F1">
      <w:pPr>
        <w:rPr>
          <w:rFonts w:ascii="Open Sans" w:hAnsi="Open Sans" w:cs="Open Sans"/>
        </w:rPr>
      </w:pPr>
    </w:p>
    <w:p w14:paraId="14F24B18" w14:textId="77777777" w:rsidR="007B4AC1" w:rsidRPr="00493AC6" w:rsidRDefault="007B4AC1" w:rsidP="00B23F7F">
      <w:pPr>
        <w:pStyle w:val="Heading2"/>
        <w:rPr>
          <w:lang w:val="en-US"/>
        </w:rPr>
      </w:pPr>
      <w:bookmarkStart w:id="53" w:name="_Toc104535773"/>
      <w:r w:rsidRPr="00493AC6">
        <w:rPr>
          <w:lang w:val="en-US"/>
        </w:rPr>
        <w:t>Additional outcomes</w:t>
      </w:r>
      <w:bookmarkEnd w:id="53"/>
    </w:p>
    <w:p w14:paraId="3F5FDEE9" w14:textId="77777777" w:rsidR="00B358D8" w:rsidRDefault="007B4AC1" w:rsidP="007E72F1">
      <w:pPr>
        <w:spacing w:after="0"/>
        <w:rPr>
          <w:rFonts w:ascii="Open Sans" w:hAnsi="Open Sans" w:cs="Open Sans"/>
          <w:lang w:val="en-US"/>
        </w:rPr>
      </w:pPr>
      <w:r w:rsidRPr="00493AC6">
        <w:rPr>
          <w:rFonts w:ascii="Open Sans" w:hAnsi="Open Sans" w:cs="Open Sans"/>
          <w:lang w:val="en-US"/>
        </w:rPr>
        <w:t>The majority of survivors (83.1%</w:t>
      </w:r>
      <w:r w:rsidRPr="00493AC6">
        <w:rPr>
          <w:rFonts w:ascii="Open Sans" w:hAnsi="Open Sans" w:cs="Open Sans"/>
          <w:vertAlign w:val="superscript"/>
          <w:lang w:val="en-US"/>
        </w:rPr>
        <w:footnoteReference w:id="49"/>
      </w:r>
      <w:r w:rsidRPr="00493AC6">
        <w:rPr>
          <w:rFonts w:ascii="Open Sans" w:hAnsi="Open Sans" w:cs="Open Sans"/>
          <w:lang w:val="en-US"/>
        </w:rPr>
        <w:t>) reported an improvement in regards to their safety after having been supported by the project, with 72.6% (90 out of 124) of women reporting a significant improvement in their safety, and 10.5% (13 out of 124) reporting a somewhat improvement in their safety.</w:t>
      </w:r>
      <w:r w:rsidRPr="00493AC6">
        <w:rPr>
          <w:rFonts w:ascii="Open Sans" w:hAnsi="Open Sans" w:cs="Open Sans"/>
          <w:vertAlign w:val="superscript"/>
          <w:lang w:val="en-US"/>
        </w:rPr>
        <w:footnoteReference w:id="50"/>
      </w:r>
      <w:r w:rsidRPr="00493AC6">
        <w:rPr>
          <w:rFonts w:ascii="Open Sans" w:hAnsi="Open Sans" w:cs="Open Sans"/>
          <w:lang w:val="en-US"/>
        </w:rPr>
        <w:t xml:space="preserve"> </w:t>
      </w:r>
    </w:p>
    <w:p w14:paraId="2F4DE453" w14:textId="77777777" w:rsidR="00B358D8" w:rsidRDefault="00B358D8" w:rsidP="007E72F1">
      <w:pPr>
        <w:spacing w:after="0"/>
        <w:rPr>
          <w:rFonts w:ascii="Open Sans" w:hAnsi="Open Sans" w:cs="Open Sans"/>
          <w:lang w:val="en-US"/>
        </w:rPr>
      </w:pPr>
    </w:p>
    <w:p w14:paraId="2EB34104" w14:textId="4232BB72" w:rsidR="00110BA4" w:rsidRPr="00493AC6" w:rsidRDefault="007B4AC1" w:rsidP="007E72F1">
      <w:pPr>
        <w:spacing w:after="0"/>
        <w:rPr>
          <w:rFonts w:ascii="Open Sans" w:hAnsi="Open Sans" w:cs="Open Sans"/>
          <w:lang w:val="en-US"/>
        </w:rPr>
      </w:pPr>
      <w:r w:rsidRPr="00493AC6">
        <w:rPr>
          <w:rFonts w:ascii="Open Sans" w:hAnsi="Open Sans" w:cs="Open Sans"/>
          <w:lang w:val="en-US"/>
        </w:rPr>
        <w:t xml:space="preserve">Unfortunately four women (3.2%) supported by the project reported feeling less safe when they finished receiving support by the NWTA project. In all these cases, the NWTA practitioner was in agreement with these survivor’s perception of their safety. Three of these women were still living with the perpetrator when the case was closed, and in one case the perpetrator's controlling </w:t>
      </w:r>
      <w:r w:rsidR="00FB0635" w:rsidRPr="00493AC6">
        <w:rPr>
          <w:rFonts w:ascii="Open Sans" w:hAnsi="Open Sans" w:cs="Open Sans"/>
          <w:lang w:val="en-US"/>
        </w:rPr>
        <w:t>behavior</w:t>
      </w:r>
      <w:r w:rsidRPr="00493AC6">
        <w:rPr>
          <w:rFonts w:ascii="Open Sans" w:hAnsi="Open Sans" w:cs="Open Sans"/>
          <w:lang w:val="en-US"/>
        </w:rPr>
        <w:t xml:space="preserve"> had in</w:t>
      </w:r>
      <w:r w:rsidR="00B6518E" w:rsidRPr="00493AC6">
        <w:rPr>
          <w:rFonts w:ascii="Open Sans" w:hAnsi="Open Sans" w:cs="Open Sans"/>
          <w:lang w:val="en-US"/>
        </w:rPr>
        <w:t>tensified</w:t>
      </w:r>
      <w:r w:rsidRPr="00493AC6">
        <w:rPr>
          <w:rFonts w:ascii="Open Sans" w:hAnsi="Open Sans" w:cs="Open Sans"/>
          <w:lang w:val="en-US"/>
        </w:rPr>
        <w:t xml:space="preserve"> so much that the NWTA project could only contact this woman through email. After many attempts to find this survivor safe accommodation the NWTA project felt that refuge would not be appropriate and referred her to a her local IDVA service for help applying for an injunction order to remove the perpetrator from the property. </w:t>
      </w:r>
    </w:p>
    <w:p w14:paraId="541237A7" w14:textId="77777777" w:rsidR="00110BA4" w:rsidRPr="00493AC6" w:rsidRDefault="00110BA4" w:rsidP="007E72F1">
      <w:pPr>
        <w:spacing w:after="0"/>
        <w:rPr>
          <w:rFonts w:ascii="Open Sans" w:hAnsi="Open Sans" w:cs="Open Sans"/>
          <w:lang w:val="en-US"/>
        </w:rPr>
      </w:pPr>
    </w:p>
    <w:p w14:paraId="2314D826" w14:textId="5CA2292B" w:rsidR="007B4AC1" w:rsidRPr="00493AC6" w:rsidRDefault="007B4AC1" w:rsidP="007E72F1">
      <w:pPr>
        <w:spacing w:after="0"/>
        <w:rPr>
          <w:rFonts w:ascii="Open Sans" w:hAnsi="Open Sans" w:cs="Open Sans"/>
          <w:lang w:val="en-US"/>
        </w:rPr>
      </w:pPr>
      <w:r w:rsidRPr="00493AC6">
        <w:rPr>
          <w:rFonts w:ascii="Open Sans" w:hAnsi="Open Sans" w:cs="Open Sans"/>
          <w:lang w:val="en-US"/>
        </w:rPr>
        <w:t xml:space="preserve">The other two women still living with the perpetrator felt that their safety had worsened due to statutory services becoming involved but then not following through on providing support. For example, in one case social services became involved because of the abuse, and only offered to accommodate the children; therefore leaving the family in the </w:t>
      </w:r>
      <w:r w:rsidR="00B6518E" w:rsidRPr="00493AC6">
        <w:rPr>
          <w:rFonts w:ascii="Open Sans" w:hAnsi="Open Sans" w:cs="Open Sans"/>
          <w:lang w:val="en-US"/>
        </w:rPr>
        <w:t>home</w:t>
      </w:r>
      <w:r w:rsidRPr="00493AC6">
        <w:rPr>
          <w:rFonts w:ascii="Open Sans" w:hAnsi="Open Sans" w:cs="Open Sans"/>
          <w:lang w:val="en-US"/>
        </w:rPr>
        <w:t xml:space="preserve"> with the perpetrator knowing that the survivor had sought help. This survivor was left feeling let down by services and decided to remain living with the perpetrator. However, in all three cases the NWTA practitioner ensured that the survivor was engaging with her local domestic abuse services before closing the case. In the fourth case, the woman had moved away from the UK and was experiencing ongoing harassment and conflict around child contact from the perpetrator. Unfortunately the courts had become involved, who were siding with the perpetrator and not believing this survivor’s story of domestic abuse, despite the fact that the perpetrator had recently been arrested and charged.</w:t>
      </w:r>
    </w:p>
    <w:p w14:paraId="06B17DF4" w14:textId="77777777" w:rsidR="007B4AC1" w:rsidRPr="00493AC6" w:rsidRDefault="007B4AC1" w:rsidP="007E72F1">
      <w:pPr>
        <w:spacing w:after="0"/>
        <w:rPr>
          <w:rFonts w:ascii="Open Sans" w:hAnsi="Open Sans" w:cs="Open Sans"/>
          <w:lang w:val="en-US"/>
        </w:rPr>
      </w:pPr>
    </w:p>
    <w:p w14:paraId="6239B907" w14:textId="10666D86" w:rsidR="001E2028" w:rsidRPr="00493AC6" w:rsidRDefault="007B4AC1" w:rsidP="007E72F1">
      <w:pPr>
        <w:spacing w:after="0"/>
        <w:rPr>
          <w:rFonts w:ascii="Open Sans" w:hAnsi="Open Sans" w:cs="Open Sans"/>
          <w:lang w:val="en-US"/>
        </w:rPr>
      </w:pPr>
      <w:r w:rsidRPr="00493AC6">
        <w:rPr>
          <w:rFonts w:ascii="Open Sans" w:hAnsi="Open Sans" w:cs="Open Sans"/>
          <w:lang w:val="en-US"/>
        </w:rPr>
        <w:t xml:space="preserve">For 13.7% survivors (17 out of 124 supported by the NWTA project, their sense of safety had neither worsened nor improved after being supported by the NWTA project. Unfortunately, the NWTA practitioners </w:t>
      </w:r>
      <w:r w:rsidR="00110BA4" w:rsidRPr="00493AC6">
        <w:rPr>
          <w:rFonts w:ascii="Open Sans" w:hAnsi="Open Sans" w:cs="Open Sans"/>
          <w:lang w:val="en-US"/>
        </w:rPr>
        <w:t xml:space="preserve">not </w:t>
      </w:r>
      <w:r w:rsidRPr="00493AC6">
        <w:rPr>
          <w:rFonts w:ascii="Open Sans" w:hAnsi="Open Sans" w:cs="Open Sans"/>
          <w:lang w:val="en-US"/>
        </w:rPr>
        <w:t>able to record the survivor’s perspective on whether their safety had improved for 60 women</w:t>
      </w:r>
      <w:r w:rsidR="00110BA4" w:rsidRPr="00493AC6">
        <w:rPr>
          <w:rFonts w:ascii="Open Sans" w:hAnsi="Open Sans" w:cs="Open Sans"/>
          <w:lang w:val="en-US"/>
        </w:rPr>
        <w:t>.</w:t>
      </w:r>
      <w:r w:rsidR="00110BA4" w:rsidRPr="00493AC6">
        <w:rPr>
          <w:rStyle w:val="FootnoteReference"/>
          <w:rFonts w:ascii="Open Sans" w:hAnsi="Open Sans" w:cs="Open Sans"/>
          <w:lang w:val="en-US"/>
        </w:rPr>
        <w:footnoteReference w:id="51"/>
      </w:r>
      <w:r w:rsidR="00110BA4" w:rsidRPr="00493AC6">
        <w:rPr>
          <w:rFonts w:ascii="Open Sans" w:hAnsi="Open Sans" w:cs="Open Sans"/>
          <w:lang w:val="en-US"/>
        </w:rPr>
        <w:t xml:space="preserve"> </w:t>
      </w:r>
      <w:r w:rsidRPr="00493AC6">
        <w:rPr>
          <w:rFonts w:ascii="Open Sans" w:hAnsi="Open Sans" w:cs="Open Sans"/>
          <w:lang w:val="en-US"/>
        </w:rPr>
        <w:t xml:space="preserve">This </w:t>
      </w:r>
      <w:r w:rsidR="00273CBD" w:rsidRPr="00493AC6">
        <w:rPr>
          <w:rFonts w:ascii="Open Sans" w:hAnsi="Open Sans" w:cs="Open Sans"/>
          <w:lang w:val="en-US"/>
        </w:rPr>
        <w:t xml:space="preserve">may be </w:t>
      </w:r>
      <w:r w:rsidR="00273CBD" w:rsidRPr="00493AC6">
        <w:rPr>
          <w:rFonts w:ascii="Open Sans" w:hAnsi="Open Sans" w:cs="Open Sans"/>
          <w:lang w:val="en-US"/>
        </w:rPr>
        <w:lastRenderedPageBreak/>
        <w:t xml:space="preserve">down to the NWTA practitioner not being certain </w:t>
      </w:r>
      <w:r w:rsidR="00BB2F88" w:rsidRPr="00493AC6">
        <w:rPr>
          <w:rFonts w:ascii="Open Sans" w:hAnsi="Open Sans" w:cs="Open Sans"/>
          <w:lang w:val="en-US"/>
        </w:rPr>
        <w:t>that</w:t>
      </w:r>
      <w:r w:rsidR="00273CBD" w:rsidRPr="00493AC6">
        <w:rPr>
          <w:rFonts w:ascii="Open Sans" w:hAnsi="Open Sans" w:cs="Open Sans"/>
          <w:lang w:val="en-US"/>
        </w:rPr>
        <w:t xml:space="preserve"> it was still safe to contact the survivor, or simply being unab</w:t>
      </w:r>
      <w:r w:rsidR="00806EBD" w:rsidRPr="00493AC6">
        <w:rPr>
          <w:rFonts w:ascii="Open Sans" w:hAnsi="Open Sans" w:cs="Open Sans"/>
          <w:lang w:val="en-US"/>
        </w:rPr>
        <w:t>le to</w:t>
      </w:r>
      <w:r w:rsidR="00273CBD" w:rsidRPr="00493AC6">
        <w:rPr>
          <w:rFonts w:ascii="Open Sans" w:hAnsi="Open Sans" w:cs="Open Sans"/>
          <w:lang w:val="en-US"/>
        </w:rPr>
        <w:t xml:space="preserve"> do so</w:t>
      </w:r>
      <w:r w:rsidR="00806EBD" w:rsidRPr="00493AC6">
        <w:rPr>
          <w:rFonts w:ascii="Open Sans" w:hAnsi="Open Sans" w:cs="Open Sans"/>
          <w:lang w:val="en-US"/>
        </w:rPr>
        <w:t xml:space="preserve"> successfully</w:t>
      </w:r>
      <w:r w:rsidR="00273CBD" w:rsidRPr="00493AC6">
        <w:rPr>
          <w:rFonts w:ascii="Open Sans" w:hAnsi="Open Sans" w:cs="Open Sans"/>
          <w:lang w:val="en-US"/>
        </w:rPr>
        <w:t xml:space="preserve">. This </w:t>
      </w:r>
      <w:r w:rsidRPr="00493AC6">
        <w:rPr>
          <w:rFonts w:ascii="Open Sans" w:hAnsi="Open Sans" w:cs="Open Sans"/>
          <w:lang w:val="en-US"/>
        </w:rPr>
        <w:t>reflects just how precarious a survivor’s situation can be</w:t>
      </w:r>
      <w:r w:rsidR="001F03BA" w:rsidRPr="00493AC6">
        <w:rPr>
          <w:rFonts w:ascii="Open Sans" w:hAnsi="Open Sans" w:cs="Open Sans"/>
          <w:lang w:val="en-US"/>
        </w:rPr>
        <w:t xml:space="preserve"> when it comes to seeking safety from domestic abuse.</w:t>
      </w:r>
      <w:r w:rsidRPr="00493AC6">
        <w:rPr>
          <w:rFonts w:ascii="Open Sans" w:hAnsi="Open Sans" w:cs="Open Sans"/>
          <w:lang w:val="en-US"/>
        </w:rPr>
        <w:t xml:space="preserve"> </w:t>
      </w:r>
    </w:p>
    <w:p w14:paraId="470A640B" w14:textId="77777777" w:rsidR="001E2028" w:rsidRPr="00493AC6" w:rsidRDefault="001E2028" w:rsidP="007E72F1">
      <w:pPr>
        <w:spacing w:after="0"/>
        <w:rPr>
          <w:rFonts w:ascii="Open Sans" w:hAnsi="Open Sans" w:cs="Open Sans"/>
          <w:lang w:val="en-US"/>
        </w:rPr>
      </w:pPr>
    </w:p>
    <w:p w14:paraId="74ACDD6C" w14:textId="77777777" w:rsidR="007B4AC1" w:rsidRPr="00493AC6" w:rsidRDefault="007B4AC1" w:rsidP="00B23F7F">
      <w:pPr>
        <w:pStyle w:val="Heading2"/>
        <w:rPr>
          <w:lang w:val="en-US"/>
        </w:rPr>
      </w:pPr>
      <w:bookmarkStart w:id="54" w:name="_Toc104535774"/>
      <w:r w:rsidRPr="00493AC6">
        <w:rPr>
          <w:lang w:val="en-US"/>
        </w:rPr>
        <w:t>Signposting to other services</w:t>
      </w:r>
      <w:bookmarkEnd w:id="54"/>
    </w:p>
    <w:p w14:paraId="6A9C6879" w14:textId="031F5C3C" w:rsidR="007B4AC1" w:rsidRPr="00493AC6" w:rsidRDefault="007B4AC1" w:rsidP="007E72F1">
      <w:pPr>
        <w:spacing w:after="0"/>
        <w:rPr>
          <w:rFonts w:ascii="Open Sans" w:hAnsi="Open Sans" w:cs="Open Sans"/>
        </w:rPr>
      </w:pPr>
      <w:r w:rsidRPr="00493AC6">
        <w:rPr>
          <w:rFonts w:ascii="Open Sans" w:hAnsi="Open Sans" w:cs="Open Sans"/>
        </w:rPr>
        <w:t>A significant aspect of the NWTA specialist practitioners' work involves the skilled signposting of survivors to other relevant support organisations. This includes ensuring that the survivor will be receiving appropriate support after the NWTA practitioner closes the survivor’s case. For 84 of the survivors the NWTA practitioner was able to establish that further support would be provided from another specialist Violence Against Women and Girls (VAWG) organisation after the case was closed</w:t>
      </w:r>
      <w:r w:rsidRPr="00493AC6">
        <w:t xml:space="preserve"> </w:t>
      </w:r>
      <w:r w:rsidRPr="00493AC6">
        <w:rPr>
          <w:rFonts w:ascii="Open Sans" w:hAnsi="Open Sans" w:cs="Open Sans"/>
        </w:rPr>
        <w:t>(e.g. refuges, local domestic abuse organisations). For 74 survivors the NWTA practitioner was able to secure support from another non-VAWG organisation after the case was closed (e.g. immigration specialists; statutory agencies).</w:t>
      </w:r>
    </w:p>
    <w:p w14:paraId="0D60DD6D" w14:textId="77777777" w:rsidR="001E2028" w:rsidRPr="00493AC6" w:rsidRDefault="001E2028" w:rsidP="007E72F1">
      <w:pPr>
        <w:keepNext/>
        <w:keepLines/>
        <w:spacing w:before="40" w:after="0"/>
        <w:outlineLvl w:val="1"/>
        <w:rPr>
          <w:rFonts w:ascii="Open Sans" w:eastAsiaTheme="majorEastAsia" w:hAnsi="Open Sans" w:cs="Open Sans"/>
          <w:color w:val="B6006C"/>
          <w:sz w:val="26"/>
          <w:szCs w:val="26"/>
        </w:rPr>
      </w:pPr>
    </w:p>
    <w:p w14:paraId="581B4E8D" w14:textId="77777777" w:rsidR="007B4AC1" w:rsidRPr="00493AC6" w:rsidRDefault="007B4AC1" w:rsidP="00B23F7F">
      <w:pPr>
        <w:pStyle w:val="Heading2"/>
      </w:pPr>
      <w:bookmarkStart w:id="55" w:name="_Toc104535775"/>
      <w:r w:rsidRPr="00493AC6">
        <w:t>Immigration outcomes</w:t>
      </w:r>
      <w:bookmarkEnd w:id="55"/>
    </w:p>
    <w:p w14:paraId="0B1F93EF" w14:textId="77777777" w:rsidR="007B4AC1" w:rsidRPr="00493AC6" w:rsidRDefault="007B4AC1" w:rsidP="007E72F1">
      <w:pPr>
        <w:rPr>
          <w:rFonts w:ascii="Open Sans" w:hAnsi="Open Sans" w:cs="Open Sans"/>
        </w:rPr>
      </w:pPr>
      <w:r w:rsidRPr="00493AC6">
        <w:rPr>
          <w:rFonts w:ascii="Open Sans" w:hAnsi="Open Sans" w:cs="Open Sans"/>
        </w:rPr>
        <w:t xml:space="preserve">The NWTA practitioners recorded 39 positive immigration outcomes as a result of being supported by the project. This included offering the survivor clarity around her immigration status (14 women), helping the survivor to make positive progress in regularising their status (10 women), ensuring a survivor was able to make an </w:t>
      </w:r>
      <w:r w:rsidRPr="00493AC6">
        <w:rPr>
          <w:rFonts w:ascii="Open Sans" w:hAnsi="Open Sans" w:cs="Open Sans"/>
        </w:rPr>
        <w:lastRenderedPageBreak/>
        <w:t>application for the DDVC application (8), and a survivor having been successful in their DDVC application (7). These outcomes were generally achieved through referring the survivors to organisations who could support with immigration advice and DDVC applications.</w:t>
      </w:r>
    </w:p>
    <w:p w14:paraId="557AF471" w14:textId="77777777" w:rsidR="007B4AC1" w:rsidRPr="00493AC6" w:rsidRDefault="007B4AC1" w:rsidP="007E72F1"/>
    <w:p w14:paraId="69006ADD" w14:textId="77777777" w:rsidR="007B4AC1" w:rsidRPr="00493AC6" w:rsidRDefault="007B4AC1" w:rsidP="007E72F1">
      <w:pPr>
        <w:spacing w:after="0"/>
        <w:rPr>
          <w:lang w:val="en-US"/>
        </w:rPr>
      </w:pPr>
    </w:p>
    <w:p w14:paraId="50109BFE" w14:textId="77777777" w:rsidR="00D61D3E" w:rsidRPr="00493AC6" w:rsidRDefault="00891AD5" w:rsidP="007E72F1">
      <w:pPr>
        <w:rPr>
          <w:rFonts w:ascii="Open Sans" w:hAnsi="Open Sans" w:cs="Open Sans"/>
          <w:lang w:val="en-US"/>
        </w:rPr>
      </w:pPr>
      <w:r w:rsidRPr="00493AC6">
        <w:rPr>
          <w:rFonts w:ascii="Open Sans" w:hAnsi="Open Sans" w:cs="Open Sans"/>
          <w:lang w:val="en-US"/>
        </w:rPr>
        <w:br w:type="page"/>
      </w:r>
    </w:p>
    <w:p w14:paraId="4F210694" w14:textId="3F21860C" w:rsidR="0095106B" w:rsidRPr="00B23F7F" w:rsidRDefault="229D05FB" w:rsidP="00B23F7F">
      <w:pPr>
        <w:pStyle w:val="Heading1"/>
      </w:pPr>
      <w:bookmarkStart w:id="56" w:name="_Toc104535776"/>
      <w:r w:rsidRPr="00B23F7F">
        <w:lastRenderedPageBreak/>
        <w:t>Conclusion</w:t>
      </w:r>
      <w:r w:rsidR="0095106B" w:rsidRPr="00B23F7F">
        <w:t xml:space="preserve"> and recommendations</w:t>
      </w:r>
      <w:bookmarkEnd w:id="56"/>
    </w:p>
    <w:p w14:paraId="410639E0" w14:textId="77777777" w:rsidR="00AC4AD1" w:rsidRPr="00B23F7F" w:rsidRDefault="0095106B" w:rsidP="00B23F7F">
      <w:pPr>
        <w:pStyle w:val="Heading2"/>
      </w:pPr>
      <w:bookmarkStart w:id="57" w:name="_Toc104475892"/>
      <w:bookmarkStart w:id="58" w:name="_Toc104535777"/>
      <w:r w:rsidRPr="00B23F7F">
        <w:t>Conclusion</w:t>
      </w:r>
      <w:bookmarkEnd w:id="57"/>
      <w:bookmarkEnd w:id="58"/>
      <w:r w:rsidRPr="00B23F7F">
        <w:t xml:space="preserve"> </w:t>
      </w:r>
    </w:p>
    <w:p w14:paraId="3E1EBF3C" w14:textId="6CB7E84C" w:rsidR="00B23F7F" w:rsidRDefault="00AC4AD1" w:rsidP="007E72F1">
      <w:pPr>
        <w:spacing w:before="240"/>
        <w:rPr>
          <w:rFonts w:ascii="Open Sans" w:hAnsi="Open Sans" w:cs="Open Sans"/>
          <w:lang w:val="en-US"/>
        </w:rPr>
      </w:pPr>
      <w:r w:rsidRPr="00493AC6">
        <w:rPr>
          <w:rFonts w:ascii="Open Sans" w:hAnsi="Open Sans" w:cs="Open Sans"/>
          <w:lang w:val="en-US"/>
        </w:rPr>
        <w:t xml:space="preserve">The findings in this report demonstrate the </w:t>
      </w:r>
      <w:r w:rsidR="00FA3C16" w:rsidRPr="00493AC6">
        <w:rPr>
          <w:rFonts w:ascii="Open Sans" w:hAnsi="Open Sans" w:cs="Open Sans"/>
          <w:lang w:val="en-US"/>
        </w:rPr>
        <w:t xml:space="preserve">vital </w:t>
      </w:r>
      <w:r w:rsidRPr="00493AC6">
        <w:rPr>
          <w:rFonts w:ascii="Open Sans" w:hAnsi="Open Sans" w:cs="Open Sans"/>
          <w:lang w:val="en-US"/>
        </w:rPr>
        <w:t>ongoing need for the NWTA project, which offers survivors the hope of securing safe accommodation away from abuse in a context of insufficient refuge vacancies to meet needs and inequalities in domestic abuse service provision. Although not all the survivors were accommodated in a suitable refuge, the majority reported an improvement in their safety as result of being supported by the project.</w:t>
      </w:r>
      <w:r w:rsidR="00A80206" w:rsidRPr="00493AC6">
        <w:rPr>
          <w:rFonts w:ascii="Open Sans" w:hAnsi="Open Sans" w:cs="Open Sans"/>
          <w:lang w:val="en-US"/>
        </w:rPr>
        <w:t xml:space="preserve"> </w:t>
      </w:r>
    </w:p>
    <w:p w14:paraId="6657AF1B" w14:textId="77777777" w:rsidR="00B358D8" w:rsidRPr="00493AC6" w:rsidRDefault="00B358D8" w:rsidP="007E72F1">
      <w:pPr>
        <w:spacing w:before="240"/>
        <w:rPr>
          <w:rFonts w:ascii="Open Sans" w:hAnsi="Open Sans" w:cs="Open Sans"/>
          <w:lang w:val="en-US"/>
        </w:rPr>
      </w:pPr>
    </w:p>
    <w:p w14:paraId="66D9A67C" w14:textId="604BB179" w:rsidR="00F73F99" w:rsidRDefault="001E24A9" w:rsidP="007E72F1">
      <w:pPr>
        <w:rPr>
          <w:rFonts w:ascii="Open Sans" w:hAnsi="Open Sans" w:cs="Open Sans"/>
        </w:rPr>
      </w:pPr>
      <w:r w:rsidRPr="00493AC6">
        <w:rPr>
          <w:rFonts w:ascii="Open Sans" w:hAnsi="Open Sans" w:cs="Open Sans"/>
          <w:lang w:val="en-US"/>
        </w:rPr>
        <w:t>Some specific findings from this year will continue to be monitored by us to better understand women’s experiences of seeking a refuge space</w:t>
      </w:r>
      <w:r w:rsidR="00FA3C16" w:rsidRPr="00493AC6">
        <w:rPr>
          <w:rFonts w:ascii="Open Sans" w:hAnsi="Open Sans" w:cs="Open Sans"/>
          <w:lang w:val="en-US"/>
        </w:rPr>
        <w:t>, and take measures (albeit these are limited in the current funding context)</w:t>
      </w:r>
      <w:r w:rsidRPr="00493AC6">
        <w:rPr>
          <w:rFonts w:ascii="Open Sans" w:hAnsi="Open Sans" w:cs="Open Sans"/>
          <w:lang w:val="en-US"/>
        </w:rPr>
        <w:t xml:space="preserve">. </w:t>
      </w:r>
      <w:r w:rsidR="0036306B" w:rsidRPr="00493AC6">
        <w:rPr>
          <w:rFonts w:ascii="Open Sans" w:hAnsi="Open Sans" w:cs="Open Sans"/>
          <w:lang w:val="en-US"/>
        </w:rPr>
        <w:t>Th</w:t>
      </w:r>
      <w:r w:rsidR="00A5037C" w:rsidRPr="00493AC6">
        <w:rPr>
          <w:rFonts w:ascii="Open Sans" w:hAnsi="Open Sans" w:cs="Open Sans"/>
          <w:lang w:val="en-US"/>
        </w:rPr>
        <w:t xml:space="preserve">is includes the higher proportion of referrals that the NWTA practitioners are having to </w:t>
      </w:r>
      <w:r w:rsidR="004812FF" w:rsidRPr="00493AC6">
        <w:rPr>
          <w:rFonts w:ascii="Open Sans" w:hAnsi="Open Sans" w:cs="Open Sans"/>
          <w:lang w:val="en-US"/>
        </w:rPr>
        <w:t xml:space="preserve">decline on the basis of not being able to contact women. Also included is the increase in the number of times the NWTA practitioners are finding no suitable refuge spaces on Routes to Support. </w:t>
      </w:r>
      <w:r w:rsidR="000F300C" w:rsidRPr="00493AC6">
        <w:rPr>
          <w:rFonts w:ascii="Open Sans" w:hAnsi="Open Sans" w:cs="Open Sans"/>
          <w:lang w:val="en-US"/>
        </w:rPr>
        <w:t>For the first time, this has happened over 30 times for three survivors</w:t>
      </w:r>
      <w:r w:rsidR="004812FF" w:rsidRPr="00493AC6">
        <w:rPr>
          <w:rFonts w:ascii="Open Sans" w:hAnsi="Open Sans" w:cs="Open Sans"/>
          <w:lang w:val="en-US"/>
        </w:rPr>
        <w:t xml:space="preserve">. If this trend continues we may need to alter the way this is recorded in order to accurately capture the number of times that </w:t>
      </w:r>
      <w:r w:rsidR="000F300C" w:rsidRPr="00493AC6">
        <w:rPr>
          <w:rFonts w:ascii="Open Sans" w:hAnsi="Open Sans" w:cs="Open Sans"/>
          <w:lang w:val="en-US"/>
        </w:rPr>
        <w:t>this is happening per survivor on average.</w:t>
      </w:r>
      <w:r w:rsidR="00DA57EA" w:rsidRPr="00493AC6">
        <w:rPr>
          <w:rFonts w:ascii="Open Sans" w:hAnsi="Open Sans" w:cs="Open Sans"/>
          <w:lang w:val="en-US"/>
        </w:rPr>
        <w:t xml:space="preserve"> The continued increase in the proportion of survivors </w:t>
      </w:r>
      <w:r w:rsidR="00DA57EA" w:rsidRPr="00493AC6">
        <w:rPr>
          <w:rFonts w:ascii="Open Sans" w:hAnsi="Open Sans" w:cs="Open Sans"/>
          <w:lang w:val="en-US"/>
        </w:rPr>
        <w:lastRenderedPageBreak/>
        <w:t xml:space="preserve">subjected to further abuse from the perpetrator whilst waiting for refuge is </w:t>
      </w:r>
      <w:r w:rsidR="0095106B" w:rsidRPr="00493AC6">
        <w:rPr>
          <w:rFonts w:ascii="Open Sans" w:hAnsi="Open Sans" w:cs="Open Sans"/>
          <w:lang w:val="en-US"/>
        </w:rPr>
        <w:t xml:space="preserve">extremely concerning. Whilst it might be the case that we are reaching more vulnerable survivors as a result of increased referral pathways, </w:t>
      </w:r>
      <w:r w:rsidR="008B219D" w:rsidRPr="00493AC6">
        <w:rPr>
          <w:rFonts w:ascii="Open Sans" w:hAnsi="Open Sans" w:cs="Open Sans"/>
          <w:lang w:val="en-US"/>
        </w:rPr>
        <w:t xml:space="preserve">the other findings in the report suggest </w:t>
      </w:r>
      <w:r w:rsidR="00081B83" w:rsidRPr="00493AC6">
        <w:rPr>
          <w:rFonts w:ascii="Open Sans" w:hAnsi="Open Sans" w:cs="Open Sans"/>
          <w:lang w:val="en-US"/>
        </w:rPr>
        <w:t xml:space="preserve">continued challenges </w:t>
      </w:r>
      <w:r w:rsidR="00081B83" w:rsidRPr="00493AC6">
        <w:rPr>
          <w:rFonts w:ascii="Open Sans" w:hAnsi="Open Sans" w:cs="Open Sans"/>
        </w:rPr>
        <w:t>for women who face multiple barriers to accessing refuge vacancies.</w:t>
      </w:r>
    </w:p>
    <w:p w14:paraId="525BD774" w14:textId="75D21693" w:rsidR="00B23F7F" w:rsidRPr="00493AC6" w:rsidRDefault="00B23F7F" w:rsidP="007E72F1">
      <w:pPr>
        <w:rPr>
          <w:rFonts w:ascii="Open Sans" w:hAnsi="Open Sans" w:cs="Open Sans"/>
          <w:lang w:val="en-US"/>
        </w:rPr>
      </w:pPr>
    </w:p>
    <w:p w14:paraId="3DD26B5C" w14:textId="78098A06" w:rsidR="007E72F1" w:rsidRDefault="008B219D" w:rsidP="007E72F1">
      <w:pPr>
        <w:rPr>
          <w:rFonts w:ascii="Open Sans" w:hAnsi="Open Sans" w:cs="Open Sans"/>
        </w:rPr>
      </w:pPr>
      <w:r w:rsidRPr="00493AC6">
        <w:rPr>
          <w:rFonts w:ascii="Open Sans" w:hAnsi="Open Sans" w:cs="Open Sans"/>
          <w:lang w:val="en-US"/>
        </w:rPr>
        <w:t xml:space="preserve">The NWTA project supports women and their children during this difficult and turbulent </w:t>
      </w:r>
      <w:r w:rsidRPr="00493AC6">
        <w:rPr>
          <w:rFonts w:ascii="Open Sans" w:hAnsi="Open Sans" w:cs="Open Sans"/>
        </w:rPr>
        <w:t>time not only by searching for a safe place for them to live</w:t>
      </w:r>
      <w:r w:rsidR="007856B0" w:rsidRPr="00493AC6">
        <w:rPr>
          <w:rFonts w:ascii="Open Sans" w:hAnsi="Open Sans" w:cs="Open Sans"/>
        </w:rPr>
        <w:t>,</w:t>
      </w:r>
      <w:r w:rsidRPr="00493AC6">
        <w:rPr>
          <w:rFonts w:ascii="Open Sans" w:hAnsi="Open Sans" w:cs="Open Sans"/>
        </w:rPr>
        <w:t xml:space="preserve"> but also by offering them </w:t>
      </w:r>
      <w:r w:rsidR="007856B0" w:rsidRPr="00493AC6">
        <w:rPr>
          <w:rFonts w:ascii="Open Sans" w:hAnsi="Open Sans" w:cs="Open Sans"/>
        </w:rPr>
        <w:t>detailed advice</w:t>
      </w:r>
      <w:r w:rsidRPr="00493AC6">
        <w:rPr>
          <w:rFonts w:ascii="Open Sans" w:hAnsi="Open Sans" w:cs="Open Sans"/>
        </w:rPr>
        <w:t xml:space="preserve">, and </w:t>
      </w:r>
      <w:r w:rsidR="007856B0" w:rsidRPr="00493AC6">
        <w:rPr>
          <w:rFonts w:ascii="Open Sans" w:hAnsi="Open Sans" w:cs="Open Sans"/>
        </w:rPr>
        <w:t xml:space="preserve">putting them in touch with appropriate organisations. </w:t>
      </w:r>
      <w:r w:rsidR="00335C47" w:rsidRPr="00493AC6">
        <w:rPr>
          <w:rFonts w:ascii="Open Sans" w:hAnsi="Open Sans" w:cs="Open Sans"/>
        </w:rPr>
        <w:t xml:space="preserve">The high numbers of survivors who are referred on the basis of NRPF, many of whom begin receiving support from the NWTA project believing that nobody can support them, but are then supported to find safe accommodation </w:t>
      </w:r>
      <w:r w:rsidR="009F347B" w:rsidRPr="00493AC6">
        <w:rPr>
          <w:rFonts w:ascii="Open Sans" w:hAnsi="Open Sans" w:cs="Open Sans"/>
        </w:rPr>
        <w:t>is evidence of this.</w:t>
      </w:r>
      <w:r w:rsidR="00335C47" w:rsidRPr="00493AC6">
        <w:rPr>
          <w:rFonts w:ascii="Open Sans" w:hAnsi="Open Sans" w:cs="Open Sans"/>
        </w:rPr>
        <w:t xml:space="preserve"> </w:t>
      </w:r>
      <w:r w:rsidR="006C18AC" w:rsidRPr="00493AC6">
        <w:rPr>
          <w:rFonts w:ascii="Open Sans" w:hAnsi="Open Sans" w:cs="Open Sans"/>
        </w:rPr>
        <w:t xml:space="preserve">Nonetheless, the lack of access to immigration support </w:t>
      </w:r>
      <w:r w:rsidR="00905DA9" w:rsidRPr="00493AC6">
        <w:rPr>
          <w:rFonts w:ascii="Open Sans" w:hAnsi="Open Sans" w:cs="Open Sans"/>
        </w:rPr>
        <w:t>in</w:t>
      </w:r>
      <w:r w:rsidR="006C18AC" w:rsidRPr="00493AC6">
        <w:rPr>
          <w:rFonts w:ascii="Open Sans" w:hAnsi="Open Sans" w:cs="Open Sans"/>
        </w:rPr>
        <w:t xml:space="preserve"> the domestic abuse sector</w:t>
      </w:r>
      <w:r w:rsidR="00905DA9" w:rsidRPr="00493AC6">
        <w:rPr>
          <w:rFonts w:ascii="Open Sans" w:hAnsi="Open Sans" w:cs="Open Sans"/>
        </w:rPr>
        <w:t xml:space="preserve"> is not sustainable</w:t>
      </w:r>
      <w:r w:rsidR="006C1F2B" w:rsidRPr="00493AC6">
        <w:rPr>
          <w:rFonts w:ascii="Open Sans" w:hAnsi="Open Sans" w:cs="Open Sans"/>
        </w:rPr>
        <w:t xml:space="preserve"> and is resulting in many survivors being led to believe that cannot access support</w:t>
      </w:r>
      <w:r w:rsidR="00905DA9" w:rsidRPr="00493AC6">
        <w:rPr>
          <w:rFonts w:ascii="Open Sans" w:hAnsi="Open Sans" w:cs="Open Sans"/>
        </w:rPr>
        <w:t xml:space="preserve">. Many services do not have the resources the adequately assist survivors in accessing immigration advice, resulting in </w:t>
      </w:r>
      <w:r w:rsidR="004A0172" w:rsidRPr="00493AC6">
        <w:rPr>
          <w:rFonts w:ascii="Open Sans" w:hAnsi="Open Sans" w:cs="Open Sans"/>
        </w:rPr>
        <w:t xml:space="preserve">survivors being put at risk and </w:t>
      </w:r>
      <w:r w:rsidR="00905DA9" w:rsidRPr="00493AC6">
        <w:rPr>
          <w:rFonts w:ascii="Open Sans" w:hAnsi="Open Sans" w:cs="Open Sans"/>
        </w:rPr>
        <w:t>the NWTA project spending more time on these cases</w:t>
      </w:r>
      <w:r w:rsidR="00FB749F" w:rsidRPr="00493AC6">
        <w:rPr>
          <w:rFonts w:ascii="Open Sans" w:hAnsi="Open Sans" w:cs="Open Sans"/>
        </w:rPr>
        <w:t xml:space="preserve"> to reach a positive outcome</w:t>
      </w:r>
      <w:r w:rsidR="00905DA9" w:rsidRPr="00493AC6">
        <w:rPr>
          <w:rFonts w:ascii="Open Sans" w:hAnsi="Open Sans" w:cs="Open Sans"/>
        </w:rPr>
        <w:t>.</w:t>
      </w:r>
    </w:p>
    <w:p w14:paraId="2100EF82" w14:textId="77777777" w:rsidR="00B23F7F" w:rsidRPr="00493AC6" w:rsidRDefault="00B23F7F" w:rsidP="007E72F1">
      <w:pPr>
        <w:rPr>
          <w:rFonts w:ascii="Open Sans" w:hAnsi="Open Sans" w:cs="Open Sans"/>
        </w:rPr>
      </w:pPr>
    </w:p>
    <w:p w14:paraId="08984F2C" w14:textId="206222AA" w:rsidR="00905DA9" w:rsidRDefault="00905DA9" w:rsidP="007E72F1">
      <w:pPr>
        <w:rPr>
          <w:rFonts w:ascii="Open Sans" w:hAnsi="Open Sans" w:cs="Open Sans"/>
          <w:lang w:val="en-US"/>
        </w:rPr>
      </w:pPr>
      <w:r w:rsidRPr="00493AC6">
        <w:rPr>
          <w:rFonts w:ascii="Open Sans" w:hAnsi="Open Sans" w:cs="Open Sans"/>
          <w:lang w:val="en-US"/>
        </w:rPr>
        <w:lastRenderedPageBreak/>
        <w:t xml:space="preserve">The lack of specialist refuge provision </w:t>
      </w:r>
      <w:r w:rsidR="00A80206" w:rsidRPr="00493AC6">
        <w:rPr>
          <w:rFonts w:ascii="Open Sans" w:hAnsi="Open Sans" w:cs="Open Sans"/>
          <w:lang w:val="en-US"/>
        </w:rPr>
        <w:t xml:space="preserve">means that the NWTA practitioners often have to seek alternative accommodation for survivors. The four biggest barriers to finding a suitable refuge space this year were mental health support needs, a disability, a male child over 14 years old, and having four or more children. </w:t>
      </w:r>
      <w:r w:rsidR="00522452" w:rsidRPr="00493AC6">
        <w:rPr>
          <w:rFonts w:ascii="Open Sans" w:hAnsi="Open Sans" w:cs="Open Sans"/>
          <w:lang w:val="en-US"/>
        </w:rPr>
        <w:t>With n</w:t>
      </w:r>
      <w:r w:rsidR="00A80206" w:rsidRPr="00493AC6">
        <w:rPr>
          <w:rFonts w:ascii="Open Sans" w:hAnsi="Open Sans" w:cs="Open Sans"/>
          <w:lang w:val="en-US"/>
        </w:rPr>
        <w:t xml:space="preserve">one of the 14 women who had multiple disabilities </w:t>
      </w:r>
      <w:r w:rsidR="006C1F2B" w:rsidRPr="00493AC6">
        <w:rPr>
          <w:rFonts w:ascii="Open Sans" w:hAnsi="Open Sans" w:cs="Open Sans"/>
          <w:lang w:val="en-US"/>
        </w:rPr>
        <w:t>being</w:t>
      </w:r>
      <w:r w:rsidR="00A80206" w:rsidRPr="00493AC6">
        <w:rPr>
          <w:rFonts w:ascii="Open Sans" w:hAnsi="Open Sans" w:cs="Open Sans"/>
          <w:lang w:val="en-US"/>
        </w:rPr>
        <w:t xml:space="preserve"> accommodated in a suitable refuge after receiving support from the NWTA project</w:t>
      </w:r>
      <w:r w:rsidR="00522452" w:rsidRPr="00493AC6">
        <w:rPr>
          <w:rFonts w:ascii="Open Sans" w:hAnsi="Open Sans" w:cs="Open Sans"/>
          <w:lang w:val="en-US"/>
        </w:rPr>
        <w:t>.</w:t>
      </w:r>
    </w:p>
    <w:p w14:paraId="6FD8A833" w14:textId="77777777" w:rsidR="007E72F1" w:rsidRPr="00493AC6" w:rsidRDefault="007E72F1" w:rsidP="007E72F1">
      <w:pPr>
        <w:rPr>
          <w:rFonts w:ascii="Open Sans" w:hAnsi="Open Sans" w:cs="Open Sans"/>
          <w:lang w:val="en-US"/>
        </w:rPr>
      </w:pPr>
    </w:p>
    <w:p w14:paraId="772FC153" w14:textId="70044297" w:rsidR="001C07FF" w:rsidRPr="00493AC6" w:rsidRDefault="00522452" w:rsidP="00642299">
      <w:pPr>
        <w:rPr>
          <w:rFonts w:ascii="Open Sans" w:hAnsi="Open Sans" w:cs="Open Sans"/>
          <w:color w:val="B6006C"/>
          <w:lang w:val="en-US"/>
        </w:rPr>
      </w:pPr>
      <w:r w:rsidRPr="00493AC6">
        <w:rPr>
          <w:rFonts w:ascii="Open Sans" w:hAnsi="Open Sans" w:cs="Open Sans"/>
          <w:lang w:val="en-US"/>
        </w:rPr>
        <w:t xml:space="preserve">We welcome </w:t>
      </w:r>
      <w:r w:rsidR="001E6AEC" w:rsidRPr="00493AC6">
        <w:rPr>
          <w:rFonts w:ascii="Open Sans" w:hAnsi="Open Sans" w:cs="Open Sans"/>
          <w:lang w:val="en-US"/>
        </w:rPr>
        <w:t xml:space="preserve">the Domestic Abuse Act (2021), placing a </w:t>
      </w:r>
      <w:r w:rsidR="001E6AEC" w:rsidRPr="00493AC6">
        <w:rPr>
          <w:rFonts w:ascii="Open Sans" w:hAnsi="Open Sans" w:cs="Open Sans"/>
        </w:rPr>
        <w:t>statutory duty on local authorities to fund support in refuge services and other forms of safe accommodation.</w:t>
      </w:r>
      <w:r w:rsidR="00B52085" w:rsidRPr="00493AC6">
        <w:rPr>
          <w:rFonts w:ascii="Open Sans" w:hAnsi="Open Sans" w:cs="Open Sans"/>
        </w:rPr>
        <w:t xml:space="preserve"> </w:t>
      </w:r>
      <w:r w:rsidR="006C1F2B" w:rsidRPr="00493AC6">
        <w:rPr>
          <w:rFonts w:ascii="Open Sans" w:hAnsi="Open Sans" w:cs="Open Sans"/>
        </w:rPr>
        <w:t xml:space="preserve">However, </w:t>
      </w:r>
      <w:r w:rsidR="00A01729" w:rsidRPr="00493AC6">
        <w:rPr>
          <w:rFonts w:ascii="Open Sans" w:hAnsi="Open Sans" w:cs="Open Sans"/>
        </w:rPr>
        <w:t xml:space="preserve">we remain concerned that the £125 million </w:t>
      </w:r>
      <w:r w:rsidR="005E6797" w:rsidRPr="00493AC6">
        <w:rPr>
          <w:rFonts w:ascii="Open Sans" w:hAnsi="Open Sans" w:cs="Open Sans"/>
        </w:rPr>
        <w:t>allocated to local authorities to fund all accommodation-based services falls £56 million short of Women’s Aid’s estimate of what’s required for women’s refuge services alone (Women’s Aid, 2019b).</w:t>
      </w:r>
      <w:r w:rsidR="005C59BB" w:rsidRPr="00493AC6">
        <w:t xml:space="preserve"> </w:t>
      </w:r>
      <w:r w:rsidR="005C59BB" w:rsidRPr="00493AC6">
        <w:rPr>
          <w:rFonts w:ascii="Open Sans" w:hAnsi="Open Sans" w:cs="Open Sans"/>
        </w:rPr>
        <w:t>There is also mixed picture in terms of how the duty is being implemented at a local level, with many smaller, specialist services struggling to complete with larger more generic services.</w:t>
      </w:r>
      <w:r w:rsidR="005E6797" w:rsidRPr="00493AC6">
        <w:rPr>
          <w:rFonts w:ascii="Open Sans" w:hAnsi="Open Sans" w:cs="Open Sans"/>
        </w:rPr>
        <w:t xml:space="preserve"> Whilst</w:t>
      </w:r>
      <w:r w:rsidR="005C59BB" w:rsidRPr="00493AC6">
        <w:rPr>
          <w:rFonts w:ascii="Open Sans" w:hAnsi="Open Sans" w:cs="Open Sans"/>
        </w:rPr>
        <w:t xml:space="preserve"> it is too early to determine how much</w:t>
      </w:r>
      <w:r w:rsidR="005E6797" w:rsidRPr="00493AC6">
        <w:rPr>
          <w:rFonts w:ascii="Open Sans" w:hAnsi="Open Sans" w:cs="Open Sans"/>
        </w:rPr>
        <w:t xml:space="preserve"> this new legislation has made a difference to survivors seeking safety from domestic abuse, the continued research and evaluation of the NWTA project will offer us the opportunity to monitor this on an ongoing basis.</w:t>
      </w:r>
    </w:p>
    <w:p w14:paraId="6D5E5B1C" w14:textId="77777777" w:rsidR="007E72F1" w:rsidRDefault="007E72F1" w:rsidP="007E72F1">
      <w:pPr>
        <w:rPr>
          <w:rFonts w:ascii="Open Sans" w:eastAsiaTheme="majorEastAsia" w:hAnsi="Open Sans" w:cs="Open Sans"/>
          <w:color w:val="B6006C"/>
          <w:sz w:val="32"/>
          <w:szCs w:val="32"/>
          <w:lang w:val="en-US"/>
        </w:rPr>
      </w:pPr>
      <w:r>
        <w:rPr>
          <w:rFonts w:ascii="Open Sans" w:hAnsi="Open Sans" w:cs="Open Sans"/>
          <w:color w:val="B6006C"/>
          <w:sz w:val="32"/>
          <w:szCs w:val="32"/>
          <w:lang w:val="en-US"/>
        </w:rPr>
        <w:br w:type="page"/>
      </w:r>
    </w:p>
    <w:p w14:paraId="42D1FF25" w14:textId="0C18BC6D" w:rsidR="0039469D" w:rsidRPr="00B23F7F" w:rsidRDefault="0095106B" w:rsidP="00B23F7F">
      <w:pPr>
        <w:pStyle w:val="Heading2"/>
      </w:pPr>
      <w:bookmarkStart w:id="59" w:name="_Toc104475893"/>
      <w:bookmarkStart w:id="60" w:name="_Toc104535778"/>
      <w:r w:rsidRPr="00B23F7F">
        <w:lastRenderedPageBreak/>
        <w:t>Recommendations</w:t>
      </w:r>
      <w:bookmarkEnd w:id="59"/>
      <w:bookmarkEnd w:id="60"/>
    </w:p>
    <w:p w14:paraId="16597E76" w14:textId="7D4731D8" w:rsidR="000665F2" w:rsidRPr="007E72F1" w:rsidRDefault="78DD3334" w:rsidP="00B23F7F">
      <w:pPr>
        <w:pStyle w:val="Heading3"/>
      </w:pPr>
      <w:r w:rsidRPr="007E72F1">
        <w:t>Urgent recommendations</w:t>
      </w:r>
    </w:p>
    <w:p w14:paraId="2275F886" w14:textId="58E3043B" w:rsidR="78DD3334" w:rsidRPr="00493AC6" w:rsidRDefault="007B4BF4" w:rsidP="007E72F1">
      <w:pPr>
        <w:pStyle w:val="ListParagraph"/>
        <w:numPr>
          <w:ilvl w:val="0"/>
          <w:numId w:val="3"/>
        </w:numPr>
        <w:rPr>
          <w:rFonts w:ascii="Open Sans" w:eastAsia="Open Sans" w:hAnsi="Open Sans" w:cs="Open Sans"/>
          <w:color w:val="333333"/>
        </w:rPr>
      </w:pPr>
      <w:r w:rsidRPr="00493AC6">
        <w:rPr>
          <w:rFonts w:ascii="Open Sans" w:eastAsia="Open Sans" w:hAnsi="Open Sans" w:cs="Open Sans"/>
          <w:color w:val="333333"/>
        </w:rPr>
        <w:t xml:space="preserve">National and local Government to ensure existing refuge spaces </w:t>
      </w:r>
      <w:r w:rsidR="001B4E1C" w:rsidRPr="00493AC6">
        <w:rPr>
          <w:rFonts w:ascii="Open Sans" w:eastAsia="Open Sans" w:hAnsi="Open Sans" w:cs="Open Sans"/>
          <w:color w:val="333333"/>
        </w:rPr>
        <w:t xml:space="preserve">are sufficiently funded </w:t>
      </w:r>
      <w:r w:rsidRPr="00493AC6">
        <w:rPr>
          <w:rFonts w:ascii="Open Sans" w:eastAsia="Open Sans" w:hAnsi="Open Sans" w:cs="Open Sans"/>
          <w:color w:val="333333"/>
        </w:rPr>
        <w:t>so t</w:t>
      </w:r>
      <w:r w:rsidR="001B4E1C" w:rsidRPr="00493AC6">
        <w:rPr>
          <w:rFonts w:ascii="Open Sans" w:eastAsia="Open Sans" w:hAnsi="Open Sans" w:cs="Open Sans"/>
          <w:color w:val="333333"/>
        </w:rPr>
        <w:t>hat support can be provided to survivors facing additional barriers, such as mental health needs, substance misuse, and structural inequalities. Also provide funding to create</w:t>
      </w:r>
      <w:r w:rsidRPr="00493AC6">
        <w:rPr>
          <w:rFonts w:ascii="Open Sans" w:eastAsia="Open Sans" w:hAnsi="Open Sans" w:cs="Open Sans"/>
          <w:color w:val="333333"/>
        </w:rPr>
        <w:t xml:space="preserve"> additional spaces when needed</w:t>
      </w:r>
      <w:r w:rsidR="000F6B8B" w:rsidRPr="00493AC6">
        <w:rPr>
          <w:rFonts w:ascii="Open Sans" w:eastAsia="Open Sans" w:hAnsi="Open Sans" w:cs="Open Sans"/>
          <w:color w:val="333333"/>
        </w:rPr>
        <w:t xml:space="preserve"> to </w:t>
      </w:r>
      <w:r w:rsidR="00F52C1B" w:rsidRPr="00493AC6">
        <w:rPr>
          <w:rFonts w:ascii="Open Sans" w:eastAsia="Open Sans" w:hAnsi="Open Sans" w:cs="Open Sans"/>
          <w:color w:val="333333"/>
        </w:rPr>
        <w:t>d</w:t>
      </w:r>
      <w:r w:rsidR="78DD3334" w:rsidRPr="00493AC6">
        <w:rPr>
          <w:rFonts w:ascii="Open Sans" w:eastAsia="Open Sans" w:hAnsi="Open Sans" w:cs="Open Sans"/>
          <w:color w:val="333333"/>
        </w:rPr>
        <w:t xml:space="preserve">eliver vital additional refuge spaces that can accommodate </w:t>
      </w:r>
      <w:r w:rsidR="001B4E1C" w:rsidRPr="00493AC6">
        <w:rPr>
          <w:rFonts w:ascii="Open Sans" w:eastAsia="Open Sans" w:hAnsi="Open Sans" w:cs="Open Sans"/>
          <w:color w:val="333333"/>
        </w:rPr>
        <w:t>these survivors.</w:t>
      </w:r>
    </w:p>
    <w:p w14:paraId="1630A0F2" w14:textId="54D24007" w:rsidR="78DD3334" w:rsidRPr="00493AC6" w:rsidRDefault="00C853BA" w:rsidP="007E72F1">
      <w:pPr>
        <w:pStyle w:val="ListParagraph"/>
        <w:numPr>
          <w:ilvl w:val="0"/>
          <w:numId w:val="3"/>
        </w:numPr>
        <w:rPr>
          <w:rFonts w:ascii="Open Sans" w:eastAsia="Open Sans" w:hAnsi="Open Sans" w:cs="Open Sans"/>
          <w:color w:val="333333"/>
        </w:rPr>
      </w:pPr>
      <w:r w:rsidRPr="00493AC6">
        <w:rPr>
          <w:rFonts w:ascii="Open Sans" w:eastAsia="Open Sans" w:hAnsi="Open Sans" w:cs="Open Sans"/>
          <w:color w:val="333333"/>
        </w:rPr>
        <w:t>National and local Government</w:t>
      </w:r>
      <w:r w:rsidR="007B4BF4" w:rsidRPr="00493AC6">
        <w:rPr>
          <w:rFonts w:ascii="Open Sans" w:eastAsia="Open Sans" w:hAnsi="Open Sans" w:cs="Open Sans"/>
          <w:color w:val="333333"/>
        </w:rPr>
        <w:t xml:space="preserve"> </w:t>
      </w:r>
      <w:r w:rsidRPr="00493AC6">
        <w:rPr>
          <w:rFonts w:ascii="Open Sans" w:eastAsia="Open Sans" w:hAnsi="Open Sans" w:cs="Open Sans"/>
          <w:color w:val="333333"/>
        </w:rPr>
        <w:t xml:space="preserve">to </w:t>
      </w:r>
      <w:r w:rsidR="007B4BF4" w:rsidRPr="00493AC6">
        <w:rPr>
          <w:rFonts w:ascii="Open Sans" w:eastAsia="Open Sans" w:hAnsi="Open Sans" w:cs="Open Sans"/>
          <w:color w:val="333333"/>
        </w:rPr>
        <w:t xml:space="preserve">ensure </w:t>
      </w:r>
      <w:r w:rsidRPr="00493AC6">
        <w:rPr>
          <w:rFonts w:ascii="Open Sans" w:eastAsia="Open Sans" w:hAnsi="Open Sans" w:cs="Open Sans"/>
          <w:color w:val="333333"/>
        </w:rPr>
        <w:t>f</w:t>
      </w:r>
      <w:r w:rsidR="78DD3334" w:rsidRPr="00493AC6">
        <w:rPr>
          <w:rFonts w:ascii="Open Sans" w:eastAsia="Open Sans" w:hAnsi="Open Sans" w:cs="Open Sans"/>
          <w:color w:val="333333"/>
        </w:rPr>
        <w:t>und</w:t>
      </w:r>
      <w:r w:rsidR="007B4BF4" w:rsidRPr="00493AC6">
        <w:rPr>
          <w:rFonts w:ascii="Open Sans" w:eastAsia="Open Sans" w:hAnsi="Open Sans" w:cs="Open Sans"/>
          <w:color w:val="333333"/>
        </w:rPr>
        <w:t>ing is available</w:t>
      </w:r>
      <w:r w:rsidR="78DD3334" w:rsidRPr="00493AC6">
        <w:rPr>
          <w:rFonts w:ascii="Open Sans" w:eastAsia="Open Sans" w:hAnsi="Open Sans" w:cs="Open Sans"/>
          <w:color w:val="333333"/>
        </w:rPr>
        <w:t xml:space="preserve"> </w:t>
      </w:r>
      <w:r w:rsidR="007B4BF4" w:rsidRPr="00493AC6">
        <w:rPr>
          <w:rFonts w:ascii="Open Sans" w:eastAsia="Open Sans" w:hAnsi="Open Sans" w:cs="Open Sans"/>
          <w:color w:val="333333"/>
        </w:rPr>
        <w:t>to provide</w:t>
      </w:r>
      <w:r w:rsidR="78DD3334" w:rsidRPr="00493AC6">
        <w:rPr>
          <w:rFonts w:ascii="Open Sans" w:eastAsia="Open Sans" w:hAnsi="Open Sans" w:cs="Open Sans"/>
          <w:color w:val="333333"/>
        </w:rPr>
        <w:t xml:space="preserve"> emergency immigration advice to survivors of domestic abuse to ensure </w:t>
      </w:r>
      <w:r w:rsidR="0043297D" w:rsidRPr="00493AC6">
        <w:rPr>
          <w:rFonts w:ascii="Open Sans" w:hAnsi="Open Sans" w:cs="Open Sans"/>
        </w:rPr>
        <w:t>survivors have access to the support that they are entitled to.</w:t>
      </w:r>
    </w:p>
    <w:p w14:paraId="27D689B6" w14:textId="180202ED" w:rsidR="78DD3334" w:rsidRPr="00493AC6" w:rsidRDefault="00F52C1B" w:rsidP="007E72F1">
      <w:pPr>
        <w:pStyle w:val="ListParagraph"/>
        <w:numPr>
          <w:ilvl w:val="0"/>
          <w:numId w:val="3"/>
        </w:numPr>
        <w:rPr>
          <w:color w:val="333333"/>
        </w:rPr>
      </w:pPr>
      <w:r w:rsidRPr="00493AC6">
        <w:rPr>
          <w:rFonts w:ascii="Open Sans" w:hAnsi="Open Sans" w:cs="Open Sans"/>
        </w:rPr>
        <w:t>Local authorities to c</w:t>
      </w:r>
      <w:r w:rsidR="78DD3334" w:rsidRPr="00493AC6">
        <w:rPr>
          <w:rFonts w:ascii="Open Sans" w:hAnsi="Open Sans" w:cs="Open Sans"/>
        </w:rPr>
        <w:t xml:space="preserve">ommission single sex emergency accommodation, in adherence to the law under the Equality Act 2010, in recognition of the number of survivors accessing this form of accommodation and to ensure their safety and support needs are being met. </w:t>
      </w:r>
    </w:p>
    <w:p w14:paraId="7EAD605A" w14:textId="6D11C9FE" w:rsidR="78DD3334" w:rsidRPr="00493AC6" w:rsidRDefault="00F52C1B" w:rsidP="007E72F1">
      <w:pPr>
        <w:pStyle w:val="ListParagraph"/>
        <w:numPr>
          <w:ilvl w:val="0"/>
          <w:numId w:val="3"/>
        </w:numPr>
        <w:rPr>
          <w:color w:val="333333"/>
        </w:rPr>
      </w:pPr>
      <w:r w:rsidRPr="00493AC6">
        <w:rPr>
          <w:rFonts w:ascii="Open Sans" w:hAnsi="Open Sans" w:cs="Open Sans"/>
        </w:rPr>
        <w:t xml:space="preserve">Central Government to </w:t>
      </w:r>
      <w:r w:rsidR="78DD3334" w:rsidRPr="00493AC6">
        <w:rPr>
          <w:rFonts w:ascii="Open Sans" w:hAnsi="Open Sans" w:cs="Open Sans"/>
        </w:rPr>
        <w:t>Empower the National Expert Steering Group (NESG) to develop robust accountability mechanisms for local authorities failing to meet their duties under Part 4 of the Domestic Abuse Act 2021</w:t>
      </w:r>
      <w:r w:rsidR="00D14914" w:rsidRPr="00493AC6">
        <w:rPr>
          <w:rFonts w:ascii="Open Sans" w:hAnsi="Open Sans" w:cs="Open Sans"/>
        </w:rPr>
        <w:t>.</w:t>
      </w:r>
      <w:r w:rsidR="78DD3334" w:rsidRPr="00493AC6">
        <w:rPr>
          <w:rFonts w:ascii="Open Sans" w:hAnsi="Open Sans" w:cs="Open Sans"/>
        </w:rPr>
        <w:t xml:space="preserve"> This should be done through improved assessment and gathering of quantitative and qualitative data on the delivery of the duty which should be </w:t>
      </w:r>
      <w:r w:rsidR="78DD3334" w:rsidRPr="00493AC6">
        <w:rPr>
          <w:rFonts w:ascii="Open Sans" w:hAnsi="Open Sans" w:cs="Open Sans"/>
        </w:rPr>
        <w:lastRenderedPageBreak/>
        <w:t>presented to the National Expert Steering Group. This could also include funding specialist services to contribute to this data gathering exercise, to ensure a frontline perspective on the funding landscape.</w:t>
      </w:r>
    </w:p>
    <w:p w14:paraId="29A18F63" w14:textId="4410B0B2" w:rsidR="001B4E1C" w:rsidRPr="00642299" w:rsidRDefault="3EC85BD8" w:rsidP="00B358D8">
      <w:pPr>
        <w:pStyle w:val="ListParagraph"/>
        <w:numPr>
          <w:ilvl w:val="0"/>
          <w:numId w:val="3"/>
        </w:numPr>
        <w:rPr>
          <w:color w:val="414042"/>
        </w:rPr>
      </w:pPr>
      <w:r w:rsidRPr="00493AC6">
        <w:rPr>
          <w:rFonts w:ascii="Open Sans" w:eastAsia="Open Sans" w:hAnsi="Open Sans" w:cs="Open Sans"/>
          <w:color w:val="414042"/>
        </w:rPr>
        <w:t xml:space="preserve">Domestic abuse training must be rolled out across local and housing authorities – and it is imperative this is informed and delivered by specialist organisations, including those led ‘by and for’ Black and minoritised women - to ensure that women and children are not further traumatised </w:t>
      </w:r>
      <w:r w:rsidR="004378FE" w:rsidRPr="00493AC6">
        <w:rPr>
          <w:rFonts w:ascii="Open Sans" w:eastAsia="Open Sans" w:hAnsi="Open Sans" w:cs="Open Sans"/>
          <w:color w:val="414042"/>
        </w:rPr>
        <w:t>when seeking safe accommodation.</w:t>
      </w:r>
    </w:p>
    <w:p w14:paraId="4F576784" w14:textId="77777777" w:rsidR="00642299" w:rsidRPr="00642299" w:rsidRDefault="00642299" w:rsidP="00642299">
      <w:pPr>
        <w:rPr>
          <w:color w:val="414042"/>
        </w:rPr>
      </w:pPr>
    </w:p>
    <w:p w14:paraId="2F7BFB3A" w14:textId="5BBDB0CB" w:rsidR="000665F2" w:rsidRPr="00493AC6" w:rsidRDefault="007B4BF4" w:rsidP="00B23F7F">
      <w:pPr>
        <w:pStyle w:val="Heading3"/>
      </w:pPr>
      <w:r w:rsidRPr="00493AC6">
        <w:t>Longer-term recommendations</w:t>
      </w:r>
    </w:p>
    <w:p w14:paraId="0D35FB65" w14:textId="0962AC15" w:rsidR="00A80206" w:rsidRPr="007E72F1" w:rsidRDefault="00A80206" w:rsidP="00B23F7F">
      <w:pPr>
        <w:pStyle w:val="Heading4"/>
      </w:pPr>
      <w:r w:rsidRPr="007E72F1">
        <w:t>Recommendations for national government</w:t>
      </w:r>
    </w:p>
    <w:p w14:paraId="279E8034" w14:textId="71DB609F" w:rsidR="00356188" w:rsidRPr="00493AC6" w:rsidRDefault="00356188" w:rsidP="007E72F1">
      <w:pPr>
        <w:pStyle w:val="ListParagraph"/>
        <w:numPr>
          <w:ilvl w:val="0"/>
          <w:numId w:val="14"/>
        </w:numPr>
        <w:rPr>
          <w:rFonts w:ascii="Open Sans" w:hAnsi="Open Sans" w:cs="Open Sans"/>
        </w:rPr>
      </w:pPr>
      <w:r w:rsidRPr="00493AC6">
        <w:rPr>
          <w:rFonts w:ascii="Open Sans" w:hAnsi="Open Sans" w:cs="Open Sans"/>
        </w:rPr>
        <w:t>Training on immigration r</w:t>
      </w:r>
      <w:r w:rsidR="007B4BF4" w:rsidRPr="00493AC6">
        <w:rPr>
          <w:rFonts w:ascii="Open Sans" w:hAnsi="Open Sans" w:cs="Open Sans"/>
        </w:rPr>
        <w:t>ights across statutory agencies and continuous monitoring</w:t>
      </w:r>
      <w:r w:rsidRPr="00493AC6">
        <w:rPr>
          <w:rFonts w:ascii="Open Sans" w:hAnsi="Open Sans" w:cs="Open Sans"/>
        </w:rPr>
        <w:t xml:space="preserve"> to ensure compliance</w:t>
      </w:r>
      <w:r w:rsidR="007B4BF4" w:rsidRPr="00493AC6">
        <w:rPr>
          <w:rFonts w:ascii="Open Sans" w:hAnsi="Open Sans" w:cs="Open Sans"/>
        </w:rPr>
        <w:t>.</w:t>
      </w:r>
    </w:p>
    <w:p w14:paraId="2726F423" w14:textId="15D540E0" w:rsidR="3EC85BD8" w:rsidRPr="00493AC6" w:rsidRDefault="3EC85BD8" w:rsidP="007E72F1">
      <w:pPr>
        <w:pStyle w:val="ListParagraph"/>
        <w:numPr>
          <w:ilvl w:val="0"/>
          <w:numId w:val="1"/>
        </w:numPr>
        <w:rPr>
          <w:rFonts w:ascii="Open Sans" w:eastAsia="Open Sans" w:hAnsi="Open Sans" w:cs="Open Sans"/>
        </w:rPr>
      </w:pPr>
      <w:r w:rsidRPr="00493AC6">
        <w:rPr>
          <w:rFonts w:ascii="Open Sans" w:eastAsia="Open Sans" w:hAnsi="Open Sans" w:cs="Open Sans"/>
        </w:rPr>
        <w:t>Implement a national needs assessment to underpin the duty on local authorities to commission support in safe accommodation in order for commissioning to reflect best practice, including support available across boundaries, and to make refuge services accessible to all women and children who need them.</w:t>
      </w:r>
    </w:p>
    <w:p w14:paraId="6AFA1A12" w14:textId="11AA163F" w:rsidR="00A360EA" w:rsidRPr="00493AC6" w:rsidRDefault="00A360EA" w:rsidP="007E72F1"/>
    <w:p w14:paraId="4AC5C235" w14:textId="3DA50D6E" w:rsidR="00A360EA" w:rsidRPr="00493AC6" w:rsidRDefault="00A360EA" w:rsidP="00B23F7F">
      <w:pPr>
        <w:pStyle w:val="Heading4"/>
      </w:pPr>
      <w:r w:rsidRPr="00493AC6">
        <w:lastRenderedPageBreak/>
        <w:t>Recommendations for local government</w:t>
      </w:r>
    </w:p>
    <w:p w14:paraId="1FB835E3" w14:textId="77777777" w:rsidR="00A360EA" w:rsidRPr="00493AC6" w:rsidRDefault="00A360EA" w:rsidP="007E72F1">
      <w:pPr>
        <w:pStyle w:val="ListParagraph"/>
        <w:numPr>
          <w:ilvl w:val="0"/>
          <w:numId w:val="12"/>
        </w:numPr>
        <w:rPr>
          <w:rFonts w:ascii="Open Sans" w:hAnsi="Open Sans" w:cs="Open Sans"/>
        </w:rPr>
      </w:pPr>
      <w:r w:rsidRPr="00493AC6">
        <w:rPr>
          <w:rFonts w:ascii="Open Sans" w:hAnsi="Open Sans" w:cs="Open Sans"/>
        </w:rPr>
        <w:t xml:space="preserve">Adhere to the Homelessness Code of Guidance (MOJ, 2018) and refrain from putting women fleeing domestic abuse in mixed-sex emergency accommodation, or in other instances in which it may be inappropriate. </w:t>
      </w:r>
    </w:p>
    <w:p w14:paraId="5265A61C" w14:textId="66DAC0FF" w:rsidR="78DD3334" w:rsidRPr="00493AC6" w:rsidRDefault="78DD3334" w:rsidP="007E72F1">
      <w:pPr>
        <w:pStyle w:val="ListParagraph"/>
        <w:numPr>
          <w:ilvl w:val="0"/>
          <w:numId w:val="12"/>
        </w:numPr>
      </w:pPr>
      <w:r w:rsidRPr="00493AC6">
        <w:rPr>
          <w:rFonts w:ascii="Open Sans" w:eastAsia="Open Sans" w:hAnsi="Open Sans" w:cs="Open Sans"/>
          <w:color w:val="414042"/>
        </w:rPr>
        <w:t>Ensure changes delivered to ‘priority need’ in the Domestic Abuse Act 2021 are accompanied by robust training from specialist domestic abuse services to housing officers, with quality assurance and key points of accountability built in.</w:t>
      </w:r>
    </w:p>
    <w:p w14:paraId="78F7F5A4" w14:textId="77777777" w:rsidR="00A80206" w:rsidRPr="00493AC6" w:rsidRDefault="00A80206" w:rsidP="007E72F1"/>
    <w:p w14:paraId="6005BC0E" w14:textId="663E0339" w:rsidR="00EC0A16" w:rsidRPr="007E72F1" w:rsidRDefault="00EC0A16" w:rsidP="00B23F7F">
      <w:pPr>
        <w:pStyle w:val="Heading4"/>
      </w:pPr>
      <w:r w:rsidRPr="007E72F1">
        <w:t>Recommendations for commissioners</w:t>
      </w:r>
    </w:p>
    <w:p w14:paraId="570C5720" w14:textId="013EA007" w:rsidR="00EC0A16" w:rsidRPr="00493AC6" w:rsidRDefault="00EC0A16" w:rsidP="007E72F1">
      <w:pPr>
        <w:pStyle w:val="ListParagraph"/>
        <w:numPr>
          <w:ilvl w:val="0"/>
          <w:numId w:val="11"/>
        </w:numPr>
        <w:rPr>
          <w:rFonts w:ascii="Open Sans" w:hAnsi="Open Sans" w:cs="Open Sans"/>
        </w:rPr>
      </w:pPr>
      <w:r w:rsidRPr="00493AC6">
        <w:rPr>
          <w:rFonts w:ascii="Open Sans" w:hAnsi="Open Sans" w:cs="Open Sans"/>
        </w:rPr>
        <w:t xml:space="preserve">Prioritise the needs of marginalised groups, including Deaf and disabled women, and Black and minoritised survivors, in commissioning decisions in order to </w:t>
      </w:r>
      <w:r w:rsidR="00466250" w:rsidRPr="00493AC6">
        <w:rPr>
          <w:rFonts w:ascii="Open Sans" w:hAnsi="Open Sans" w:cs="Open Sans"/>
        </w:rPr>
        <w:t>meet the needs of all survivors.</w:t>
      </w:r>
    </w:p>
    <w:p w14:paraId="3D33CFB9" w14:textId="57D59A66" w:rsidR="00B70465" w:rsidRPr="00493AC6" w:rsidRDefault="00B70465" w:rsidP="007E72F1">
      <w:pPr>
        <w:pStyle w:val="ListParagraph"/>
        <w:numPr>
          <w:ilvl w:val="0"/>
          <w:numId w:val="11"/>
        </w:numPr>
      </w:pPr>
      <w:r w:rsidRPr="00493AC6">
        <w:rPr>
          <w:rFonts w:ascii="Open Sans" w:hAnsi="Open Sans" w:cs="Open Sans"/>
        </w:rPr>
        <w:t>Building on national funding for ‘by and for’ services in 2021-22, provide ring-fenced funding for these specialist services and as set out</w:t>
      </w:r>
      <w:r w:rsidRPr="00493AC6">
        <w:rPr>
          <w:rFonts w:ascii="Open Sans" w:eastAsia="Open Sans" w:hAnsi="Open Sans" w:cs="Open Sans"/>
        </w:rPr>
        <w:t xml:space="preserve"> in </w:t>
      </w:r>
      <w:r w:rsidR="3EC85BD8" w:rsidRPr="00493AC6">
        <w:rPr>
          <w:rFonts w:ascii="Open Sans" w:eastAsia="Open Sans" w:hAnsi="Open Sans" w:cs="Open Sans"/>
        </w:rPr>
        <w:t>the statutory guidance to</w:t>
      </w:r>
      <w:r w:rsidR="3EC85BD8" w:rsidRPr="00493AC6">
        <w:t xml:space="preserve"> </w:t>
      </w:r>
      <w:r w:rsidR="3EC85BD8" w:rsidRPr="00493AC6">
        <w:rPr>
          <w:rFonts w:ascii="Open Sans" w:eastAsia="Open Sans" w:hAnsi="Open Sans" w:cs="Open Sans"/>
        </w:rPr>
        <w:t>support implementation of the duty on local authorities to commission support in safe accommodation, where possible, conducted on a multi-year basis.</w:t>
      </w:r>
    </w:p>
    <w:p w14:paraId="5E64B901" w14:textId="1C751BCD" w:rsidR="0012178D" w:rsidRPr="00493AC6" w:rsidRDefault="3EC85BD8" w:rsidP="007E72F1">
      <w:pPr>
        <w:pStyle w:val="ListParagraph"/>
        <w:numPr>
          <w:ilvl w:val="0"/>
          <w:numId w:val="11"/>
        </w:numPr>
        <w:rPr>
          <w:rFonts w:asciiTheme="majorHAnsi" w:eastAsiaTheme="majorEastAsia" w:hAnsiTheme="majorHAnsi" w:cstheme="majorBidi"/>
          <w:color w:val="B6006C"/>
          <w:sz w:val="32"/>
          <w:szCs w:val="32"/>
          <w:lang w:val="en-US"/>
        </w:rPr>
      </w:pPr>
      <w:r w:rsidRPr="00493AC6">
        <w:rPr>
          <w:rFonts w:ascii="Open Sans" w:eastAsia="Open Sans" w:hAnsi="Open Sans" w:cs="Open Sans"/>
        </w:rPr>
        <w:t xml:space="preserve">Develop proportionate approaches to contract monitoring and quality assurance, with reference to and use of national outcomes data collection and quality standards developed by </w:t>
      </w:r>
      <w:r w:rsidRPr="00493AC6">
        <w:rPr>
          <w:rFonts w:ascii="Open Sans" w:eastAsia="Open Sans" w:hAnsi="Open Sans" w:cs="Open Sans"/>
        </w:rPr>
        <w:lastRenderedPageBreak/>
        <w:t>Women’s Aid, and other specialist VAWG sector organisations, as recommended by the Home Office’s VAWG Commissioning Toolkit.</w:t>
      </w:r>
      <w:r w:rsidRPr="00493AC6">
        <w:t xml:space="preserve"> </w:t>
      </w:r>
      <w:r w:rsidR="0012178D" w:rsidRPr="00493AC6">
        <w:rPr>
          <w:color w:val="B6006C"/>
          <w:lang w:val="en-US"/>
        </w:rPr>
        <w:br w:type="page"/>
      </w:r>
    </w:p>
    <w:p w14:paraId="591A4396" w14:textId="77777777" w:rsidR="001220F7" w:rsidRPr="007E72F1" w:rsidRDefault="004B35C3" w:rsidP="007E72F1">
      <w:pPr>
        <w:pStyle w:val="Heading1"/>
      </w:pPr>
      <w:bookmarkStart w:id="61" w:name="_Toc104535779"/>
      <w:r w:rsidRPr="007E72F1">
        <w:lastRenderedPageBreak/>
        <w:t>References</w:t>
      </w:r>
      <w:bookmarkEnd w:id="61"/>
    </w:p>
    <w:p w14:paraId="5F9FC4BB" w14:textId="3897C2AB" w:rsidR="004812FF" w:rsidRPr="00493AC6" w:rsidRDefault="007E72F1" w:rsidP="007E72F1">
      <w:pPr>
        <w:rPr>
          <w:rFonts w:ascii="Open Sans" w:hAnsi="Open Sans" w:cs="Open Sans"/>
          <w:color w:val="262626" w:themeColor="text1"/>
        </w:rPr>
      </w:pPr>
      <w:r>
        <w:rPr>
          <w:rFonts w:ascii="Open Sans" w:hAnsi="Open Sans" w:cs="Open Sans"/>
          <w:color w:val="262626" w:themeColor="text1"/>
        </w:rPr>
        <w:t>Archer, L. (2002) 'I</w:t>
      </w:r>
      <w:r w:rsidR="004812FF" w:rsidRPr="00493AC6">
        <w:rPr>
          <w:rFonts w:ascii="Open Sans" w:hAnsi="Open Sans" w:cs="Open Sans"/>
          <w:color w:val="262626" w:themeColor="text1"/>
        </w:rPr>
        <w:t>t's easier that you're a girl and that you're Asian': interactions of 'race' and gender between researchers and participants, Feminist Review, [e-journal] 72(1), 108 - 132.</w:t>
      </w:r>
    </w:p>
    <w:p w14:paraId="0F4B21B6" w14:textId="3AC053CF" w:rsidR="004812FF" w:rsidRPr="00493AC6" w:rsidRDefault="004812FF" w:rsidP="007E72F1">
      <w:pPr>
        <w:rPr>
          <w:rFonts w:ascii="Open Sans" w:hAnsi="Open Sans" w:cs="Open Sans"/>
          <w:color w:val="262626" w:themeColor="text1"/>
        </w:rPr>
      </w:pPr>
      <w:r w:rsidRPr="00493AC6">
        <w:rPr>
          <w:rFonts w:ascii="Open Sans" w:hAnsi="Open Sans" w:cs="Open Sans"/>
          <w:color w:val="262626" w:themeColor="text1"/>
        </w:rPr>
        <w:t xml:space="preserve">Coram (2017) Local Authority (Section 17) Support for Migrant Families [online] Available at: </w:t>
      </w:r>
      <w:hyperlink r:id="rId13" w:history="1">
        <w:r w:rsidRPr="00493AC6">
          <w:rPr>
            <w:rStyle w:val="Hyperlink"/>
            <w:rFonts w:ascii="Open Sans" w:hAnsi="Open Sans" w:cs="Open Sans"/>
            <w:color w:val="262626" w:themeColor="text1"/>
            <w:u w:val="none"/>
          </w:rPr>
          <w:t>https://www.childrenslegalcentre.com/resources/section-17-support/</w:t>
        </w:r>
      </w:hyperlink>
      <w:r w:rsidR="007E72F1">
        <w:rPr>
          <w:rStyle w:val="Hyperlink"/>
          <w:rFonts w:ascii="Open Sans" w:hAnsi="Open Sans" w:cs="Open Sans"/>
          <w:color w:val="262626" w:themeColor="text1"/>
          <w:u w:val="none"/>
        </w:rPr>
        <w:t xml:space="preserve"> </w:t>
      </w:r>
    </w:p>
    <w:p w14:paraId="50590C8C" w14:textId="77777777" w:rsidR="004812FF" w:rsidRPr="00493AC6" w:rsidRDefault="004812FF" w:rsidP="007E72F1">
      <w:pPr>
        <w:rPr>
          <w:rFonts w:ascii="Open Sans" w:hAnsi="Open Sans" w:cs="Open Sans"/>
          <w:color w:val="262626" w:themeColor="text1"/>
        </w:rPr>
      </w:pPr>
      <w:r w:rsidRPr="00493AC6">
        <w:rPr>
          <w:rFonts w:ascii="Open Sans" w:hAnsi="Open Sans" w:cs="Open Sans"/>
          <w:color w:val="262626" w:themeColor="text1"/>
        </w:rPr>
        <w:t xml:space="preserve">Department for Education. (2021) Evidence summary: COVID-19 - children, young people and education settings. Crown Copyright. Available from: </w:t>
      </w:r>
      <w:hyperlink r:id="rId14" w:history="1">
        <w:r w:rsidRPr="00493AC6">
          <w:rPr>
            <w:rStyle w:val="Hyperlink"/>
            <w:rFonts w:ascii="Open Sans" w:hAnsi="Open Sans" w:cs="Open Sans"/>
          </w:rPr>
          <w:t>https://assets.publishing.service.gov.uk/government/uploads/system/uploads/attachment_data/file/963639/DfE_Evidence_summary_COVID-19_-_children__young_people_and_education_settings.pdf</w:t>
        </w:r>
      </w:hyperlink>
    </w:p>
    <w:p w14:paraId="03433101" w14:textId="77777777" w:rsidR="004812FF" w:rsidRPr="00493AC6" w:rsidRDefault="004812FF" w:rsidP="007E72F1">
      <w:pPr>
        <w:rPr>
          <w:rStyle w:val="Hyperlink"/>
          <w:rFonts w:ascii="Open Sans" w:hAnsi="Open Sans" w:cs="Open Sans"/>
        </w:rPr>
      </w:pPr>
      <w:r w:rsidRPr="00493AC6">
        <w:rPr>
          <w:rFonts w:ascii="Open Sans" w:hAnsi="Open Sans" w:cs="Open Sans"/>
          <w:color w:val="262626" w:themeColor="text1"/>
        </w:rPr>
        <w:t xml:space="preserve">Department for Levelling Up, Housing &amp; Communities. (2022) Homelessness Code of Guidance for Local Authorities. Available at: </w:t>
      </w:r>
      <w:hyperlink r:id="rId15" w:history="1">
        <w:r w:rsidRPr="00493AC6">
          <w:rPr>
            <w:rStyle w:val="Hyperlink"/>
            <w:rFonts w:ascii="Open Sans" w:hAnsi="Open Sans" w:cs="Open Sans"/>
          </w:rPr>
          <w:t>https://assets.publishing.service.gov.uk/media/5ef9d8613a6f4023cf12fc67/current_Homelessness_Code_of_Guidance.pdf</w:t>
        </w:r>
      </w:hyperlink>
    </w:p>
    <w:p w14:paraId="43BB942F" w14:textId="77777777" w:rsidR="004812FF" w:rsidRPr="00493AC6" w:rsidRDefault="004812FF" w:rsidP="007E72F1">
      <w:pPr>
        <w:rPr>
          <w:rFonts w:ascii="Open Sans" w:hAnsi="Open Sans" w:cs="Open Sans"/>
          <w:color w:val="262626" w:themeColor="text1"/>
        </w:rPr>
      </w:pPr>
      <w:r w:rsidRPr="00493AC6">
        <w:rPr>
          <w:rStyle w:val="Hyperlink"/>
          <w:rFonts w:ascii="Open Sans" w:hAnsi="Open Sans" w:cs="Open Sans"/>
          <w:color w:val="262626" w:themeColor="text1"/>
          <w:u w:val="none"/>
        </w:rPr>
        <w:t xml:space="preserve">GOV UK. 2021. </w:t>
      </w:r>
      <w:r w:rsidRPr="00493AC6">
        <w:rPr>
          <w:rFonts w:ascii="Open Sans" w:hAnsi="Open Sans" w:cs="Open Sans"/>
          <w:color w:val="262626" w:themeColor="text1"/>
        </w:rPr>
        <w:t xml:space="preserve">Statutory guidance: </w:t>
      </w:r>
      <w:r w:rsidRPr="00493AC6">
        <w:rPr>
          <w:rFonts w:ascii="Open Sans" w:hAnsi="Open Sans" w:cs="Open Sans"/>
          <w:bCs/>
          <w:color w:val="262626" w:themeColor="text1"/>
        </w:rPr>
        <w:t>Delivery of support to victims of domestic abuse in domestic abuse safe accommodation services</w:t>
      </w:r>
      <w:r w:rsidRPr="00493AC6">
        <w:rPr>
          <w:rFonts w:ascii="Open Sans" w:hAnsi="Open Sans" w:cs="Open Sans"/>
          <w:color w:val="262626" w:themeColor="text1"/>
        </w:rPr>
        <w:t xml:space="preserve">. Department for Levelling Up, Housing &amp; Communities. Available from: </w:t>
      </w:r>
      <w:hyperlink r:id="rId16" w:history="1">
        <w:r w:rsidRPr="00493AC6">
          <w:rPr>
            <w:rStyle w:val="Hyperlink"/>
            <w:rFonts w:ascii="Open Sans" w:hAnsi="Open Sans" w:cs="Open Sans"/>
          </w:rPr>
          <w:t>https://www.gov.uk/government/publications/domestic-abuse-support-within-safe-accommodation/delivery-of-support-to-victims-of-domestic-abuse-in-domestic-abuse-safe-accommodation-services</w:t>
        </w:r>
      </w:hyperlink>
      <w:r w:rsidRPr="00493AC6">
        <w:rPr>
          <w:rFonts w:ascii="Open Sans" w:hAnsi="Open Sans" w:cs="Open Sans"/>
          <w:color w:val="262626" w:themeColor="text1"/>
        </w:rPr>
        <w:t xml:space="preserve"> </w:t>
      </w:r>
    </w:p>
    <w:p w14:paraId="0E3097FC" w14:textId="77777777" w:rsidR="004812FF" w:rsidRPr="00493AC6" w:rsidRDefault="004812FF" w:rsidP="007E72F1">
      <w:pPr>
        <w:rPr>
          <w:rFonts w:ascii="Open Sans" w:hAnsi="Open Sans" w:cs="Open Sans"/>
          <w:bCs/>
        </w:rPr>
      </w:pPr>
      <w:r w:rsidRPr="00493AC6">
        <w:rPr>
          <w:rFonts w:ascii="Open Sans" w:hAnsi="Open Sans" w:cs="Open Sans"/>
          <w:lang w:val="en-US"/>
        </w:rPr>
        <w:lastRenderedPageBreak/>
        <w:t xml:space="preserve">Home Office. (2022) </w:t>
      </w:r>
      <w:r w:rsidRPr="00493AC6">
        <w:rPr>
          <w:rFonts w:ascii="Open Sans" w:hAnsi="Open Sans" w:cs="Open Sans"/>
          <w:bCs/>
        </w:rPr>
        <w:t xml:space="preserve">Local authority support for victims of domestic abuse and their children within safe accommodation factsheet. Available from: </w:t>
      </w:r>
      <w:hyperlink r:id="rId17" w:history="1">
        <w:r w:rsidRPr="00493AC6">
          <w:rPr>
            <w:rStyle w:val="Hyperlink"/>
            <w:rFonts w:ascii="Open Sans" w:hAnsi="Open Sans" w:cs="Open Sans"/>
            <w:bCs/>
          </w:rPr>
          <w:t>https://www.gov.uk/government/publications/domestic-abuse-bill-2020-factsheets/local-authority-support-for-victims-of-domestic-abuse-and-their-children-within-safe-accommodation-factsheet</w:t>
        </w:r>
      </w:hyperlink>
    </w:p>
    <w:p w14:paraId="79435EE8" w14:textId="77777777" w:rsidR="004812FF" w:rsidRPr="00493AC6" w:rsidRDefault="004812FF" w:rsidP="007E72F1">
      <w:pPr>
        <w:rPr>
          <w:rFonts w:ascii="Open Sans" w:hAnsi="Open Sans" w:cs="Open Sans"/>
          <w:color w:val="262626" w:themeColor="text1"/>
        </w:rPr>
      </w:pPr>
      <w:r w:rsidRPr="00493AC6">
        <w:rPr>
          <w:rFonts w:ascii="Open Sans" w:hAnsi="Open Sans" w:cs="Open Sans"/>
          <w:color w:val="262626" w:themeColor="text1"/>
        </w:rPr>
        <w:t xml:space="preserve">House of Commons Education Committee. (2022) Is the Catch-up Programme fit for purpose? House of Commons. Available through: </w:t>
      </w:r>
      <w:hyperlink r:id="rId18" w:history="1">
        <w:r w:rsidRPr="00493AC6">
          <w:rPr>
            <w:rStyle w:val="Hyperlink"/>
            <w:rFonts w:ascii="Open Sans" w:hAnsi="Open Sans" w:cs="Open Sans"/>
          </w:rPr>
          <w:t>https://committees.parliament.uk/publications/9251/documents/160043/default/</w:t>
        </w:r>
      </w:hyperlink>
    </w:p>
    <w:p w14:paraId="289CEB9C" w14:textId="77777777" w:rsidR="004812FF" w:rsidRPr="00493AC6" w:rsidRDefault="004812FF" w:rsidP="007E72F1">
      <w:pPr>
        <w:rPr>
          <w:rFonts w:ascii="Open Sans" w:hAnsi="Open Sans" w:cs="Open Sans"/>
          <w:b/>
          <w:bCs/>
        </w:rPr>
      </w:pPr>
      <w:r w:rsidRPr="00493AC6">
        <w:rPr>
          <w:rFonts w:ascii="Open Sans" w:hAnsi="Open Sans" w:cs="Open Sans"/>
          <w:bCs/>
        </w:rPr>
        <w:t xml:space="preserve">Imkaan. (2018) From survival to sustainability: Critical issues for the specialist black and ‘minority ethnic’ ending violence against women and girls sector in the UK. Available from: </w:t>
      </w:r>
      <w:hyperlink r:id="rId19" w:history="1">
        <w:r w:rsidRPr="00493AC6">
          <w:rPr>
            <w:rStyle w:val="Hyperlink"/>
            <w:rFonts w:ascii="Open Sans" w:hAnsi="Open Sans" w:cs="Open Sans"/>
            <w:bCs/>
          </w:rPr>
          <w:t>2f475d_9cab044d7d25404d85da289b70978237.pdf (wixstatic.com)</w:t>
        </w:r>
      </w:hyperlink>
    </w:p>
    <w:p w14:paraId="270786EE" w14:textId="77777777" w:rsidR="004812FF" w:rsidRPr="00493AC6" w:rsidRDefault="004812FF" w:rsidP="007E72F1">
      <w:pPr>
        <w:rPr>
          <w:rFonts w:ascii="Open Sans" w:hAnsi="Open Sans" w:cs="Open Sans"/>
          <w:color w:val="262626" w:themeColor="text1"/>
        </w:rPr>
      </w:pPr>
      <w:r w:rsidRPr="00493AC6">
        <w:rPr>
          <w:rFonts w:ascii="Open Sans" w:hAnsi="Open Sans" w:cs="Open Sans"/>
          <w:color w:val="262626" w:themeColor="text1"/>
        </w:rPr>
        <w:t>Legal Aid, Sentencing and Punishment of Offenders Act 2012. Schedule 1, Part 1.</w:t>
      </w:r>
    </w:p>
    <w:p w14:paraId="66D02855" w14:textId="77777777" w:rsidR="004812FF" w:rsidRPr="00493AC6" w:rsidRDefault="004812FF" w:rsidP="007E72F1">
      <w:pPr>
        <w:rPr>
          <w:rFonts w:ascii="Open Sans" w:hAnsi="Open Sans" w:cs="Open Sans"/>
        </w:rPr>
      </w:pPr>
      <w:r w:rsidRPr="00493AC6">
        <w:rPr>
          <w:rFonts w:ascii="Open Sans" w:hAnsi="Open Sans" w:cs="Open Sans"/>
          <w:lang w:val="en-US"/>
        </w:rPr>
        <w:t xml:space="preserve">ONS (2022) </w:t>
      </w:r>
      <w:r w:rsidRPr="00493AC6">
        <w:rPr>
          <w:rFonts w:ascii="Open Sans" w:hAnsi="Open Sans" w:cs="Open Sans"/>
        </w:rPr>
        <w:t xml:space="preserve">Homeworking and spending during the coronavirus (COVID-19) pandemic, Great Britain: April 2020 to January 2022. Available from: </w:t>
      </w:r>
      <w:hyperlink r:id="rId20" w:history="1">
        <w:r w:rsidRPr="00493AC6">
          <w:rPr>
            <w:rStyle w:val="Hyperlink"/>
            <w:rFonts w:ascii="Open Sans" w:hAnsi="Open Sans" w:cs="Open Sans"/>
          </w:rPr>
          <w:t>https://www.ons.gov.uk/employmentandlabourmarket/peopleinwork/employmentandemployeetypes/articles/homeworkingandspendingduringthecoronaviruscovid19pandemicgreatbritain/april2020tojanuary2022</w:t>
        </w:r>
      </w:hyperlink>
    </w:p>
    <w:p w14:paraId="5AA836D8" w14:textId="77777777" w:rsidR="004812FF" w:rsidRPr="00493AC6" w:rsidRDefault="004812FF" w:rsidP="007E72F1">
      <w:pPr>
        <w:rPr>
          <w:rFonts w:ascii="Open Sans" w:hAnsi="Open Sans" w:cs="Open Sans"/>
          <w:color w:val="262626" w:themeColor="text1"/>
        </w:rPr>
      </w:pPr>
      <w:r w:rsidRPr="00493AC6">
        <w:rPr>
          <w:rFonts w:ascii="Open Sans" w:hAnsi="Open Sans" w:cs="Open Sans"/>
          <w:color w:val="262626" w:themeColor="text1"/>
        </w:rPr>
        <w:lastRenderedPageBreak/>
        <w:t xml:space="preserve">Rights of Women. (2019) Accessible or beyond reach? Navigating the Exceptional Case Funding Scheme without a lawyer. Available at: </w:t>
      </w:r>
      <w:hyperlink r:id="rId21" w:history="1">
        <w:r w:rsidRPr="00493AC6">
          <w:rPr>
            <w:rStyle w:val="Hyperlink"/>
            <w:rFonts w:ascii="Open Sans" w:hAnsi="Open Sans" w:cs="Open Sans"/>
            <w:color w:val="262626" w:themeColor="text1"/>
            <w:u w:val="none"/>
          </w:rPr>
          <w:t>https://rightsofwomen.org.uk/wp-content/uploads/2019/02/Accessible-or-beyond-reach.pdf</w:t>
        </w:r>
      </w:hyperlink>
    </w:p>
    <w:p w14:paraId="024CE0E0" w14:textId="77777777" w:rsidR="004812FF" w:rsidRPr="00493AC6" w:rsidRDefault="004812FF" w:rsidP="007E72F1">
      <w:pPr>
        <w:rPr>
          <w:rFonts w:ascii="Open Sans" w:hAnsi="Open Sans" w:cs="Open Sans"/>
          <w:color w:val="262626" w:themeColor="text1"/>
        </w:rPr>
      </w:pPr>
      <w:r w:rsidRPr="00493AC6">
        <w:rPr>
          <w:rFonts w:ascii="Open Sans" w:hAnsi="Open Sans" w:cs="Open Sans"/>
          <w:color w:val="262626" w:themeColor="text1"/>
        </w:rPr>
        <w:t>Thiara, R. K. and Harrison, C. (2021) Reframing the Links: Black and minoritised women, domestic violence and abuse, and mental health - A Review of the Literature. Bristol: Women’s Aid.</w:t>
      </w:r>
    </w:p>
    <w:p w14:paraId="5A5BB423" w14:textId="266573F9" w:rsidR="004812FF" w:rsidRPr="00493AC6" w:rsidRDefault="004812FF" w:rsidP="007E72F1">
      <w:pPr>
        <w:rPr>
          <w:color w:val="B6006C"/>
        </w:rPr>
      </w:pPr>
      <w:r w:rsidRPr="00493AC6">
        <w:rPr>
          <w:rFonts w:ascii="Open Sans" w:hAnsi="Open Sans" w:cs="Open Sans"/>
        </w:rPr>
        <w:t xml:space="preserve">Women’s Aid. (2019a) Nowhere to Turn 2019: Findings from the third year of the No Woman Turned Away project. Bristol: Women’s Aid. Available from: </w:t>
      </w:r>
      <w:hyperlink r:id="rId22">
        <w:r w:rsidRPr="00493AC6">
          <w:rPr>
            <w:rStyle w:val="Hyperlink"/>
            <w:rFonts w:ascii="Open Sans" w:hAnsi="Open Sans" w:cs="Open Sans"/>
          </w:rPr>
          <w:t>https://www.womensaid.org.uk/wp-content/uploads/2021/03/Nowhere-to-Turn-2019-Full-Report.pdf</w:t>
        </w:r>
      </w:hyperlink>
    </w:p>
    <w:p w14:paraId="64D9D346" w14:textId="77777777" w:rsidR="76437155" w:rsidRPr="00493AC6" w:rsidRDefault="76437155" w:rsidP="007E72F1">
      <w:pPr>
        <w:rPr>
          <w:rFonts w:ascii="Open Sans" w:hAnsi="Open Sans" w:cs="Open Sans"/>
        </w:rPr>
      </w:pPr>
      <w:r w:rsidRPr="00493AC6">
        <w:rPr>
          <w:rFonts w:ascii="Open Sans" w:hAnsi="Open Sans" w:cs="Open Sans"/>
        </w:rPr>
        <w:t>Women’s Aid. (2019b) Funding specialist support for domestic abuse survivors. Bristol: Women’s Aid</w:t>
      </w:r>
    </w:p>
    <w:p w14:paraId="0B1A767E" w14:textId="77777777" w:rsidR="004812FF" w:rsidRPr="00493AC6" w:rsidRDefault="004812FF" w:rsidP="007E72F1">
      <w:pPr>
        <w:rPr>
          <w:rStyle w:val="Hyperlink"/>
          <w:rFonts w:ascii="Open Sans" w:hAnsi="Open Sans" w:cs="Open Sans"/>
        </w:rPr>
      </w:pPr>
      <w:r w:rsidRPr="00493AC6">
        <w:rPr>
          <w:rFonts w:ascii="Open Sans" w:hAnsi="Open Sans" w:cs="Open Sans"/>
        </w:rPr>
        <w:t xml:space="preserve">Women’s Aid. (2020a) A Perfect Storm: The Impact of the Covid-19 Pandemic on Domestic Abuse Survivors and the Services Supporting Them. Bristol: Women’s Aid. Available from: </w:t>
      </w:r>
      <w:hyperlink r:id="rId23" w:history="1">
        <w:r w:rsidRPr="00493AC6">
          <w:rPr>
            <w:rStyle w:val="Hyperlink"/>
            <w:rFonts w:ascii="Open Sans" w:hAnsi="Open Sans" w:cs="Open Sans"/>
          </w:rPr>
          <w:t>https://www.womensaid.org.uk/wp-content/uploads/2020/08/A-Perfect-Storm-August-2020-1.pdf</w:t>
        </w:r>
      </w:hyperlink>
    </w:p>
    <w:p w14:paraId="114066BD" w14:textId="77777777" w:rsidR="004812FF" w:rsidRPr="00493AC6" w:rsidRDefault="004812FF" w:rsidP="007E72F1">
      <w:pPr>
        <w:rPr>
          <w:rFonts w:ascii="Open Sans" w:hAnsi="Open Sans" w:cs="Open Sans"/>
          <w:color w:val="B6006C" w:themeColor="hyperlink"/>
          <w:u w:val="single"/>
        </w:rPr>
      </w:pPr>
      <w:r w:rsidRPr="00493AC6">
        <w:rPr>
          <w:rStyle w:val="Hyperlink"/>
          <w:rFonts w:ascii="Open Sans" w:hAnsi="Open Sans" w:cs="Open Sans"/>
          <w:color w:val="262626" w:themeColor="text1"/>
          <w:u w:val="none"/>
        </w:rPr>
        <w:t xml:space="preserve">Women’s Aid. (2020b) The Domestic Abuse Report 2020: The Hidden Housing Crisis. Bristol: Women’s Aid. Available from: </w:t>
      </w:r>
      <w:hyperlink r:id="rId24" w:history="1">
        <w:r w:rsidRPr="00493AC6">
          <w:rPr>
            <w:rStyle w:val="Hyperlink"/>
            <w:rFonts w:ascii="Open Sans" w:hAnsi="Open Sans" w:cs="Open Sans"/>
          </w:rPr>
          <w:t>https://www.womensaid.org.uk/wp-content/uploads/2020/06/The-Domestic-Abuse-Report-2020-The-Hidden-Housing-Crisis.pdf</w:t>
        </w:r>
      </w:hyperlink>
    </w:p>
    <w:p w14:paraId="6EB22584" w14:textId="77777777" w:rsidR="004812FF" w:rsidRPr="00493AC6" w:rsidRDefault="004812FF" w:rsidP="007E72F1">
      <w:pPr>
        <w:rPr>
          <w:rStyle w:val="Hyperlink"/>
          <w:rFonts w:ascii="Open Sans" w:hAnsi="Open Sans" w:cs="Open Sans"/>
        </w:rPr>
      </w:pPr>
      <w:r w:rsidRPr="00493AC6">
        <w:rPr>
          <w:rFonts w:ascii="Open Sans" w:hAnsi="Open Sans" w:cs="Open Sans"/>
        </w:rPr>
        <w:lastRenderedPageBreak/>
        <w:t xml:space="preserve">Women’s Aid. (2021a) Nowhere to Turn 2021: Findings from the fifth year of the No Woman Turned Away project. Bristol: Women’s Aid. Available from: </w:t>
      </w:r>
      <w:hyperlink r:id="rId25" w:history="1">
        <w:r w:rsidRPr="00493AC6">
          <w:rPr>
            <w:rStyle w:val="Hyperlink"/>
            <w:rFonts w:ascii="Open Sans" w:hAnsi="Open Sans" w:cs="Open Sans"/>
          </w:rPr>
          <w:t>https://www.womensaid.org.uk/wp-content/uploads/2021/09/Nowhere-to-Turn-2021.pdf</w:t>
        </w:r>
      </w:hyperlink>
    </w:p>
    <w:p w14:paraId="43563662" w14:textId="77777777" w:rsidR="004812FF" w:rsidRPr="00493AC6" w:rsidRDefault="004812FF" w:rsidP="007E72F1">
      <w:pPr>
        <w:rPr>
          <w:rStyle w:val="Hyperlink"/>
          <w:rFonts w:ascii="Open Sans" w:hAnsi="Open Sans" w:cs="Open Sans"/>
        </w:rPr>
      </w:pPr>
      <w:r w:rsidRPr="00493AC6">
        <w:rPr>
          <w:rStyle w:val="Hyperlink"/>
          <w:rFonts w:ascii="Open Sans" w:hAnsi="Open Sans" w:cs="Open Sans"/>
          <w:color w:val="auto"/>
          <w:u w:val="none"/>
        </w:rPr>
        <w:t xml:space="preserve">Women’s Aid. (2021b) Mental health and domestic abuse: A review of the literature. Bristol: Women’s Aid. Available from: </w:t>
      </w:r>
      <w:hyperlink r:id="rId26" w:history="1">
        <w:r w:rsidRPr="00493AC6">
          <w:rPr>
            <w:rStyle w:val="Hyperlink"/>
            <w:rFonts w:ascii="Open Sans" w:hAnsi="Open Sans" w:cs="Open Sans"/>
          </w:rPr>
          <w:t>FINAL-WA-literature-review.pdf (womensaid.org.uk)</w:t>
        </w:r>
      </w:hyperlink>
    </w:p>
    <w:p w14:paraId="5D712A23" w14:textId="77777777" w:rsidR="004812FF" w:rsidRPr="00493AC6" w:rsidRDefault="004812FF" w:rsidP="007E72F1">
      <w:pPr>
        <w:rPr>
          <w:rFonts w:ascii="Open Sans" w:hAnsi="Open Sans" w:cs="Open Sans"/>
          <w:color w:val="262626" w:themeColor="text1"/>
        </w:rPr>
      </w:pPr>
      <w:r w:rsidRPr="00493AC6">
        <w:rPr>
          <w:rStyle w:val="Hyperlink"/>
          <w:rFonts w:ascii="Open Sans" w:hAnsi="Open Sans" w:cs="Open Sans"/>
          <w:color w:val="262626" w:themeColor="text1"/>
          <w:u w:val="none"/>
        </w:rPr>
        <w:t xml:space="preserve">Women’s Aid. (2021c) </w:t>
      </w:r>
      <w:r w:rsidRPr="00493AC6">
        <w:rPr>
          <w:rFonts w:ascii="Open Sans" w:hAnsi="Open Sans" w:cs="Open Sans"/>
          <w:color w:val="262626" w:themeColor="text1"/>
        </w:rPr>
        <w:t xml:space="preserve">Fragile funding landscape: The extent of local authority commissioning in the domestic abuse refuge sector in England 2020. Bristol: Women’s Aid. Available from: </w:t>
      </w:r>
      <w:hyperlink r:id="rId27" w:history="1">
        <w:r w:rsidRPr="00493AC6">
          <w:rPr>
            <w:rStyle w:val="Hyperlink"/>
            <w:rFonts w:ascii="Open Sans" w:hAnsi="Open Sans" w:cs="Open Sans"/>
            <w:color w:val="262626" w:themeColor="text1"/>
          </w:rPr>
          <w:t>https://www.womensaid.org.uk/wp-content/uploads/2021/02/Fragile-funding-landscape-the-extent-of-local-authority-commissioning-in-the-domestic-abuse-refuge-sector-in-England-2020.pdf</w:t>
        </w:r>
      </w:hyperlink>
    </w:p>
    <w:p w14:paraId="596A6711" w14:textId="77777777" w:rsidR="004812FF" w:rsidRPr="00493AC6" w:rsidRDefault="004812FF" w:rsidP="007E72F1">
      <w:pPr>
        <w:rPr>
          <w:rFonts w:ascii="Open Sans" w:hAnsi="Open Sans" w:cs="Open Sans"/>
        </w:rPr>
      </w:pPr>
      <w:r w:rsidRPr="00493AC6">
        <w:rPr>
          <w:rStyle w:val="Hyperlink"/>
          <w:rFonts w:ascii="Open Sans" w:hAnsi="Open Sans" w:cs="Open Sans"/>
          <w:color w:val="auto"/>
          <w:u w:val="none"/>
        </w:rPr>
        <w:t xml:space="preserve">Women’s Aid. (2022a) The Domestic Abuse Report 2022: The Annual Audit. Bristol: Women’s Aid. Available from: </w:t>
      </w:r>
      <w:hyperlink r:id="rId28" w:history="1">
        <w:r w:rsidRPr="00493AC6">
          <w:rPr>
            <w:rStyle w:val="Hyperlink"/>
            <w:rFonts w:ascii="Open Sans" w:hAnsi="Open Sans" w:cs="Open Sans"/>
          </w:rPr>
          <w:t>The-Domestic-Abuse-Report-2022-The-Annual-Audit.pdf (womensaid.org.uk)</w:t>
        </w:r>
      </w:hyperlink>
    </w:p>
    <w:p w14:paraId="6200D5A9" w14:textId="4773C70F" w:rsidR="004812FF" w:rsidRPr="00493AC6" w:rsidRDefault="004812FF" w:rsidP="007E72F1">
      <w:pPr>
        <w:rPr>
          <w:rStyle w:val="Hyperlink"/>
          <w:rFonts w:ascii="Open Sans" w:hAnsi="Open Sans" w:cs="Open Sans"/>
        </w:rPr>
      </w:pPr>
      <w:r w:rsidRPr="00493AC6">
        <w:rPr>
          <w:rFonts w:ascii="Open Sans" w:hAnsi="Open Sans" w:cs="Open Sans"/>
        </w:rPr>
        <w:t xml:space="preserve">Women’s Aid. (2022b) Experiences of financial hardship whilst seeking a refuge space. Bristol: Women’s Aid. Available from: </w:t>
      </w:r>
      <w:hyperlink r:id="rId29">
        <w:r w:rsidRPr="00493AC6">
          <w:rPr>
            <w:rStyle w:val="Hyperlink"/>
            <w:rFonts w:ascii="Open Sans" w:hAnsi="Open Sans" w:cs="Open Sans"/>
          </w:rPr>
          <w:t>https://www.womensaid.org.uk/wp-content/uploads/2022/03/Financial-Hardship-report-FINAL.pdf</w:t>
        </w:r>
      </w:hyperlink>
    </w:p>
    <w:p w14:paraId="5511901B" w14:textId="77777777" w:rsidR="00A06FFB" w:rsidRPr="00493AC6" w:rsidRDefault="00A06FFB" w:rsidP="007E72F1">
      <w:pPr>
        <w:rPr>
          <w:rFonts w:ascii="Open Sans" w:hAnsi="Open Sans" w:cs="Open Sans"/>
          <w:color w:val="B6006C"/>
          <w:sz w:val="32"/>
          <w:szCs w:val="32"/>
        </w:rPr>
      </w:pPr>
      <w:r w:rsidRPr="00493AC6">
        <w:rPr>
          <w:rFonts w:ascii="Open Sans" w:hAnsi="Open Sans" w:cs="Open Sans"/>
          <w:color w:val="B6006C"/>
          <w:sz w:val="32"/>
          <w:szCs w:val="32"/>
        </w:rPr>
        <w:br w:type="page"/>
      </w:r>
    </w:p>
    <w:p w14:paraId="1DD2423D" w14:textId="77777777" w:rsidR="00B109DF" w:rsidRPr="007E72F1" w:rsidRDefault="00B109DF" w:rsidP="007E72F1">
      <w:pPr>
        <w:pStyle w:val="Heading1"/>
      </w:pPr>
      <w:bookmarkStart w:id="62" w:name="_Toc104535780"/>
      <w:r w:rsidRPr="007E72F1">
        <w:rPr>
          <w:b/>
          <w:bCs/>
        </w:rPr>
        <w:lastRenderedPageBreak/>
        <w:t>Appe</w:t>
      </w:r>
      <w:r w:rsidR="00302F1B" w:rsidRPr="007E72F1">
        <w:rPr>
          <w:b/>
          <w:bCs/>
        </w:rPr>
        <w:t>ndix 1</w:t>
      </w:r>
      <w:r w:rsidRPr="007E72F1">
        <w:rPr>
          <w:b/>
          <w:bCs/>
        </w:rPr>
        <w:t>:</w:t>
      </w:r>
      <w:r w:rsidRPr="007E72F1">
        <w:t xml:space="preserve"> Profile of women supported by the NWTA specialist practitioners</w:t>
      </w:r>
      <w:bookmarkEnd w:id="62"/>
    </w:p>
    <w:p w14:paraId="2643DD40" w14:textId="77777777" w:rsidR="008A36DC" w:rsidRPr="00493AC6" w:rsidRDefault="008A36DC" w:rsidP="007E72F1"/>
    <w:p w14:paraId="148BB7D8" w14:textId="77777777" w:rsidR="008A36DC" w:rsidRPr="00493AC6" w:rsidRDefault="00B834FD" w:rsidP="00B358D8">
      <w:pPr>
        <w:pStyle w:val="Heading2"/>
      </w:pPr>
      <w:bookmarkStart w:id="63" w:name="_Toc104475896"/>
      <w:bookmarkStart w:id="64" w:name="_Toc104535781"/>
      <w:r w:rsidRPr="00493AC6">
        <w:t>S</w:t>
      </w:r>
      <w:r w:rsidR="001F2D17" w:rsidRPr="00493AC6">
        <w:t>ex</w:t>
      </w:r>
      <w:bookmarkEnd w:id="63"/>
      <w:bookmarkEnd w:id="64"/>
    </w:p>
    <w:p w14:paraId="7C00FB16" w14:textId="6C00CDA8" w:rsidR="00B109DF" w:rsidRDefault="007E72F1" w:rsidP="007E72F1">
      <w:r>
        <w:t>Out of 184 women who were supported by the project and were asked their sex, 184 responded ‘Female’.</w:t>
      </w:r>
    </w:p>
    <w:p w14:paraId="648780A1" w14:textId="77777777" w:rsidR="007E72F1" w:rsidRPr="00493AC6" w:rsidRDefault="007E72F1" w:rsidP="007E72F1"/>
    <w:p w14:paraId="69C53726" w14:textId="3152B6EF" w:rsidR="00582513" w:rsidRDefault="00582513" w:rsidP="00B358D8">
      <w:pPr>
        <w:pStyle w:val="Heading2"/>
      </w:pPr>
      <w:bookmarkStart w:id="65" w:name="_Toc104475897"/>
      <w:bookmarkStart w:id="66" w:name="_Toc104535782"/>
      <w:r w:rsidRPr="00493AC6">
        <w:t>Transgender</w:t>
      </w:r>
      <w:bookmarkEnd w:id="65"/>
      <w:r w:rsidR="00642299">
        <w:t xml:space="preserve"> identity</w:t>
      </w:r>
      <w:bookmarkEnd w:id="66"/>
    </w:p>
    <w:p w14:paraId="62547F11" w14:textId="5ACCBECB" w:rsidR="00A77198" w:rsidRDefault="00A77198" w:rsidP="007E72F1">
      <w:r>
        <w:t>Out of a total of 184 women who were supported by the project and were asked if they identified as transgender:</w:t>
      </w:r>
    </w:p>
    <w:p w14:paraId="5844A723" w14:textId="3DB80EA5" w:rsidR="00A77198" w:rsidRDefault="00A77198" w:rsidP="00B358D8">
      <w:pPr>
        <w:pStyle w:val="ListParagraph"/>
        <w:numPr>
          <w:ilvl w:val="0"/>
          <w:numId w:val="23"/>
        </w:numPr>
      </w:pPr>
      <w:r w:rsidRPr="00B358D8">
        <w:rPr>
          <w:b/>
          <w:bCs/>
        </w:rPr>
        <w:t>0</w:t>
      </w:r>
      <w:r>
        <w:t xml:space="preserve"> responded ‘Yes’</w:t>
      </w:r>
    </w:p>
    <w:p w14:paraId="59169B18" w14:textId="3A6616E1" w:rsidR="00A77198" w:rsidRDefault="00A77198" w:rsidP="00B358D8">
      <w:pPr>
        <w:pStyle w:val="ListParagraph"/>
        <w:numPr>
          <w:ilvl w:val="0"/>
          <w:numId w:val="23"/>
        </w:numPr>
      </w:pPr>
      <w:r w:rsidRPr="00B358D8">
        <w:rPr>
          <w:b/>
          <w:bCs/>
        </w:rPr>
        <w:t>141</w:t>
      </w:r>
      <w:r>
        <w:t xml:space="preserve"> (76.6%) responded ‘No’</w:t>
      </w:r>
    </w:p>
    <w:p w14:paraId="79888C47" w14:textId="3C00FFFE" w:rsidR="00A77198" w:rsidRDefault="00A77198" w:rsidP="00B358D8">
      <w:pPr>
        <w:pStyle w:val="ListParagraph"/>
        <w:numPr>
          <w:ilvl w:val="0"/>
          <w:numId w:val="23"/>
        </w:numPr>
      </w:pPr>
      <w:r w:rsidRPr="00B358D8">
        <w:rPr>
          <w:b/>
          <w:bCs/>
        </w:rPr>
        <w:t>17</w:t>
      </w:r>
      <w:r>
        <w:t xml:space="preserve"> (9.2%) responded ‘Don’t know’</w:t>
      </w:r>
    </w:p>
    <w:p w14:paraId="0D699369" w14:textId="208D1B19" w:rsidR="00A77198" w:rsidRDefault="00A77198" w:rsidP="00B358D8">
      <w:pPr>
        <w:pStyle w:val="ListParagraph"/>
        <w:numPr>
          <w:ilvl w:val="0"/>
          <w:numId w:val="23"/>
        </w:numPr>
      </w:pPr>
      <w:r w:rsidRPr="00B358D8">
        <w:rPr>
          <w:b/>
          <w:bCs/>
        </w:rPr>
        <w:t>1</w:t>
      </w:r>
      <w:r>
        <w:t xml:space="preserve"> (0.5%) declined to answer</w:t>
      </w:r>
    </w:p>
    <w:p w14:paraId="60555663" w14:textId="198C153B" w:rsidR="00A77198" w:rsidRPr="00A77198" w:rsidRDefault="00A77198" w:rsidP="00B358D8">
      <w:pPr>
        <w:pStyle w:val="ListParagraph"/>
        <w:numPr>
          <w:ilvl w:val="0"/>
          <w:numId w:val="23"/>
        </w:numPr>
      </w:pPr>
      <w:r w:rsidRPr="00B358D8">
        <w:rPr>
          <w:b/>
          <w:bCs/>
        </w:rPr>
        <w:t>25</w:t>
      </w:r>
      <w:r>
        <w:t xml:space="preserve"> (13.6%) were not asked.</w:t>
      </w:r>
    </w:p>
    <w:p w14:paraId="134E6E0D" w14:textId="6E4CDE94" w:rsidR="00132A2C" w:rsidRPr="00493AC6" w:rsidRDefault="00132A2C" w:rsidP="007E72F1">
      <w:pPr>
        <w:rPr>
          <w:rFonts w:ascii="Open Sans" w:hAnsi="Open Sans" w:cs="Open Sans"/>
          <w:color w:val="B6006C"/>
          <w:sz w:val="26"/>
          <w:szCs w:val="26"/>
        </w:rPr>
      </w:pPr>
    </w:p>
    <w:p w14:paraId="4DE1A8CF" w14:textId="77777777" w:rsidR="00B109DF" w:rsidRPr="00493AC6" w:rsidRDefault="00B109DF" w:rsidP="00B358D8">
      <w:pPr>
        <w:pStyle w:val="Heading2"/>
      </w:pPr>
      <w:bookmarkStart w:id="67" w:name="_Toc104475898"/>
      <w:bookmarkStart w:id="68" w:name="_Toc104535783"/>
      <w:r w:rsidRPr="00493AC6">
        <w:t>Ethnicity</w:t>
      </w:r>
      <w:bookmarkEnd w:id="67"/>
      <w:bookmarkEnd w:id="68"/>
    </w:p>
    <w:p w14:paraId="0F6A96E3" w14:textId="41C30FEE" w:rsidR="00804195" w:rsidRDefault="00132A2C" w:rsidP="007E72F1">
      <w:pPr>
        <w:rPr>
          <w:lang w:val="en-US"/>
        </w:rPr>
      </w:pPr>
      <w:r>
        <w:rPr>
          <w:lang w:val="en-US"/>
        </w:rPr>
        <w:t>Out of a total of 184 women who were supported by the project</w:t>
      </w:r>
      <w:r w:rsidR="007E72F1">
        <w:rPr>
          <w:lang w:val="en-US"/>
        </w:rPr>
        <w:t xml:space="preserve"> and were asked about their ethnicity</w:t>
      </w:r>
      <w:r>
        <w:rPr>
          <w:lang w:val="en-US"/>
        </w:rPr>
        <w:t>:</w:t>
      </w:r>
    </w:p>
    <w:p w14:paraId="112279DD" w14:textId="702CD1E1" w:rsidR="00132A2C" w:rsidRDefault="00132A2C" w:rsidP="007E72F1">
      <w:pPr>
        <w:pStyle w:val="Heading3"/>
        <w:rPr>
          <w:lang w:val="en-US"/>
        </w:rPr>
      </w:pPr>
      <w:r>
        <w:rPr>
          <w:lang w:val="en-US"/>
        </w:rPr>
        <w:t>Asian/Asian British</w:t>
      </w:r>
    </w:p>
    <w:p w14:paraId="6CB1F9A2" w14:textId="471195CE" w:rsidR="00132A2C" w:rsidRPr="00B358D8" w:rsidRDefault="00132A2C" w:rsidP="00B358D8">
      <w:pPr>
        <w:pStyle w:val="ListParagraph"/>
        <w:numPr>
          <w:ilvl w:val="0"/>
          <w:numId w:val="24"/>
        </w:numPr>
        <w:rPr>
          <w:szCs w:val="24"/>
        </w:rPr>
      </w:pPr>
      <w:r w:rsidRPr="00B358D8">
        <w:rPr>
          <w:b/>
          <w:bCs/>
          <w:szCs w:val="24"/>
        </w:rPr>
        <w:t>1</w:t>
      </w:r>
      <w:r w:rsidRPr="00B358D8">
        <w:rPr>
          <w:szCs w:val="24"/>
        </w:rPr>
        <w:t xml:space="preserve"> (0.5%) was Bangladeshi</w:t>
      </w:r>
    </w:p>
    <w:p w14:paraId="02C2B730" w14:textId="37E677BD" w:rsidR="00132A2C" w:rsidRPr="00B358D8" w:rsidRDefault="00132A2C" w:rsidP="00B358D8">
      <w:pPr>
        <w:pStyle w:val="ListParagraph"/>
        <w:numPr>
          <w:ilvl w:val="0"/>
          <w:numId w:val="24"/>
        </w:numPr>
        <w:rPr>
          <w:szCs w:val="24"/>
        </w:rPr>
      </w:pPr>
      <w:r w:rsidRPr="00B358D8">
        <w:rPr>
          <w:b/>
          <w:bCs/>
          <w:szCs w:val="24"/>
        </w:rPr>
        <w:t>1</w:t>
      </w:r>
      <w:r w:rsidRPr="00B358D8">
        <w:rPr>
          <w:szCs w:val="24"/>
        </w:rPr>
        <w:t xml:space="preserve"> (0.5%) was Chinese</w:t>
      </w:r>
    </w:p>
    <w:p w14:paraId="6B7570E1" w14:textId="09D4B053" w:rsidR="00132A2C" w:rsidRPr="00B358D8" w:rsidRDefault="00132A2C" w:rsidP="00B358D8">
      <w:pPr>
        <w:pStyle w:val="ListParagraph"/>
        <w:numPr>
          <w:ilvl w:val="0"/>
          <w:numId w:val="24"/>
        </w:numPr>
        <w:rPr>
          <w:szCs w:val="24"/>
        </w:rPr>
      </w:pPr>
      <w:r w:rsidRPr="00B358D8">
        <w:rPr>
          <w:b/>
          <w:bCs/>
          <w:szCs w:val="24"/>
        </w:rPr>
        <w:lastRenderedPageBreak/>
        <w:t>5</w:t>
      </w:r>
      <w:r w:rsidRPr="00B358D8">
        <w:rPr>
          <w:szCs w:val="24"/>
        </w:rPr>
        <w:t xml:space="preserve"> (2.7%) were Indian</w:t>
      </w:r>
    </w:p>
    <w:p w14:paraId="13785E34" w14:textId="7C604A74" w:rsidR="00132A2C" w:rsidRPr="00B358D8" w:rsidRDefault="00132A2C" w:rsidP="00B358D8">
      <w:pPr>
        <w:pStyle w:val="ListParagraph"/>
        <w:numPr>
          <w:ilvl w:val="0"/>
          <w:numId w:val="24"/>
        </w:numPr>
        <w:rPr>
          <w:szCs w:val="24"/>
        </w:rPr>
      </w:pPr>
      <w:r w:rsidRPr="00B358D8">
        <w:rPr>
          <w:b/>
          <w:bCs/>
          <w:szCs w:val="24"/>
        </w:rPr>
        <w:t xml:space="preserve">7 </w:t>
      </w:r>
      <w:r w:rsidRPr="00B358D8">
        <w:rPr>
          <w:szCs w:val="24"/>
        </w:rPr>
        <w:t>(3.8%) were Pakistani</w:t>
      </w:r>
    </w:p>
    <w:p w14:paraId="4D1C2613" w14:textId="74492816" w:rsidR="00804195" w:rsidRPr="00B358D8" w:rsidRDefault="00132A2C" w:rsidP="00B358D8">
      <w:pPr>
        <w:pStyle w:val="ListParagraph"/>
        <w:numPr>
          <w:ilvl w:val="0"/>
          <w:numId w:val="24"/>
        </w:numPr>
        <w:rPr>
          <w:szCs w:val="24"/>
        </w:rPr>
      </w:pPr>
      <w:r w:rsidRPr="00B358D8">
        <w:rPr>
          <w:b/>
          <w:bCs/>
          <w:szCs w:val="24"/>
        </w:rPr>
        <w:t>10</w:t>
      </w:r>
      <w:r w:rsidRPr="00B358D8">
        <w:rPr>
          <w:szCs w:val="24"/>
        </w:rPr>
        <w:t xml:space="preserve"> (5.4%) were of any other Asian background</w:t>
      </w:r>
    </w:p>
    <w:p w14:paraId="3593C7C2" w14:textId="77777777" w:rsidR="00132A2C" w:rsidRPr="00132A2C" w:rsidRDefault="00132A2C" w:rsidP="007E72F1"/>
    <w:p w14:paraId="79A2BD24" w14:textId="765C8883" w:rsidR="00804195" w:rsidRDefault="00804195" w:rsidP="007E72F1">
      <w:pPr>
        <w:pStyle w:val="Heading3"/>
        <w:rPr>
          <w:lang w:val="en-US"/>
        </w:rPr>
      </w:pPr>
      <w:r>
        <w:rPr>
          <w:lang w:val="en-US"/>
        </w:rPr>
        <w:t>Black/African/Caribbean/Black British</w:t>
      </w:r>
    </w:p>
    <w:p w14:paraId="4BDF5F8E" w14:textId="60A67806" w:rsidR="00132A2C" w:rsidRPr="00B358D8" w:rsidRDefault="00132A2C" w:rsidP="00B358D8">
      <w:pPr>
        <w:pStyle w:val="ListParagraph"/>
        <w:numPr>
          <w:ilvl w:val="0"/>
          <w:numId w:val="25"/>
        </w:numPr>
        <w:rPr>
          <w:szCs w:val="24"/>
        </w:rPr>
      </w:pPr>
      <w:r w:rsidRPr="00B358D8">
        <w:rPr>
          <w:b/>
          <w:bCs/>
          <w:szCs w:val="24"/>
        </w:rPr>
        <w:t>15</w:t>
      </w:r>
      <w:r w:rsidRPr="00B358D8">
        <w:rPr>
          <w:szCs w:val="24"/>
        </w:rPr>
        <w:t xml:space="preserve"> (8.1%) were African</w:t>
      </w:r>
    </w:p>
    <w:p w14:paraId="5361A134" w14:textId="223EB4D4" w:rsidR="00132A2C" w:rsidRPr="00B358D8" w:rsidRDefault="00132A2C" w:rsidP="00B358D8">
      <w:pPr>
        <w:pStyle w:val="ListParagraph"/>
        <w:numPr>
          <w:ilvl w:val="0"/>
          <w:numId w:val="25"/>
        </w:numPr>
        <w:rPr>
          <w:szCs w:val="24"/>
        </w:rPr>
      </w:pPr>
      <w:r w:rsidRPr="00B358D8">
        <w:rPr>
          <w:b/>
          <w:bCs/>
          <w:szCs w:val="24"/>
        </w:rPr>
        <w:t>2</w:t>
      </w:r>
      <w:r w:rsidRPr="00B358D8">
        <w:rPr>
          <w:szCs w:val="24"/>
        </w:rPr>
        <w:t xml:space="preserve"> (1.1%) were Caribbean</w:t>
      </w:r>
    </w:p>
    <w:p w14:paraId="56EDF243" w14:textId="66673A8C" w:rsidR="00132A2C" w:rsidRPr="00B358D8" w:rsidRDefault="00132A2C" w:rsidP="00B358D8">
      <w:pPr>
        <w:pStyle w:val="ListParagraph"/>
        <w:numPr>
          <w:ilvl w:val="0"/>
          <w:numId w:val="25"/>
        </w:numPr>
        <w:rPr>
          <w:szCs w:val="24"/>
        </w:rPr>
      </w:pPr>
      <w:r w:rsidRPr="00B358D8">
        <w:rPr>
          <w:b/>
          <w:bCs/>
          <w:szCs w:val="24"/>
        </w:rPr>
        <w:t>4</w:t>
      </w:r>
      <w:r w:rsidRPr="00B358D8">
        <w:rPr>
          <w:szCs w:val="24"/>
        </w:rPr>
        <w:t xml:space="preserve"> (2.2%) were of any other Black/African/Caribbean background</w:t>
      </w:r>
    </w:p>
    <w:p w14:paraId="00101049" w14:textId="77777777" w:rsidR="00804195" w:rsidRPr="00804195" w:rsidRDefault="00804195" w:rsidP="007E72F1">
      <w:pPr>
        <w:rPr>
          <w:lang w:val="en-US"/>
        </w:rPr>
      </w:pPr>
    </w:p>
    <w:p w14:paraId="7FD1C244" w14:textId="4963C225" w:rsidR="004B35C3" w:rsidRDefault="00010582" w:rsidP="007E72F1">
      <w:pPr>
        <w:pStyle w:val="Heading3"/>
        <w:rPr>
          <w:lang w:val="en-US"/>
        </w:rPr>
      </w:pPr>
      <w:r>
        <w:rPr>
          <w:lang w:val="en-US"/>
        </w:rPr>
        <w:t>Mixed/</w:t>
      </w:r>
      <w:r w:rsidR="00A819A6">
        <w:rPr>
          <w:lang w:val="en-US"/>
        </w:rPr>
        <w:t>multiple ethnic background</w:t>
      </w:r>
    </w:p>
    <w:p w14:paraId="6D34A0E4" w14:textId="32F7D40B" w:rsidR="00804195" w:rsidRPr="00B358D8" w:rsidRDefault="00804195" w:rsidP="00B358D8">
      <w:pPr>
        <w:pStyle w:val="ListParagraph"/>
        <w:numPr>
          <w:ilvl w:val="0"/>
          <w:numId w:val="26"/>
        </w:numPr>
        <w:rPr>
          <w:szCs w:val="24"/>
        </w:rPr>
      </w:pPr>
      <w:r w:rsidRPr="00B358D8">
        <w:rPr>
          <w:b/>
          <w:bCs/>
          <w:szCs w:val="24"/>
        </w:rPr>
        <w:t>3</w:t>
      </w:r>
      <w:r w:rsidRPr="00B358D8">
        <w:rPr>
          <w:szCs w:val="24"/>
        </w:rPr>
        <w:t xml:space="preserve"> (1.6%) were White and Asian</w:t>
      </w:r>
    </w:p>
    <w:p w14:paraId="6254F86D" w14:textId="287D33FB" w:rsidR="00A819A6" w:rsidRPr="00B358D8" w:rsidRDefault="00804195" w:rsidP="00B358D8">
      <w:pPr>
        <w:pStyle w:val="ListParagraph"/>
        <w:numPr>
          <w:ilvl w:val="0"/>
          <w:numId w:val="26"/>
        </w:numPr>
        <w:rPr>
          <w:szCs w:val="24"/>
        </w:rPr>
      </w:pPr>
      <w:r w:rsidRPr="00B358D8">
        <w:rPr>
          <w:b/>
          <w:bCs/>
          <w:szCs w:val="24"/>
        </w:rPr>
        <w:t>0</w:t>
      </w:r>
      <w:r w:rsidRPr="00B358D8">
        <w:rPr>
          <w:szCs w:val="24"/>
        </w:rPr>
        <w:t xml:space="preserve"> were</w:t>
      </w:r>
      <w:r w:rsidR="00A819A6" w:rsidRPr="00B358D8">
        <w:rPr>
          <w:szCs w:val="24"/>
        </w:rPr>
        <w:t xml:space="preserve"> White and Black African</w:t>
      </w:r>
    </w:p>
    <w:p w14:paraId="67E4DAE9" w14:textId="5F97FE20" w:rsidR="00804195" w:rsidRPr="00B358D8" w:rsidRDefault="00804195" w:rsidP="00B358D8">
      <w:pPr>
        <w:pStyle w:val="ListParagraph"/>
        <w:numPr>
          <w:ilvl w:val="0"/>
          <w:numId w:val="26"/>
        </w:numPr>
        <w:rPr>
          <w:szCs w:val="24"/>
        </w:rPr>
      </w:pPr>
      <w:r w:rsidRPr="00B358D8">
        <w:rPr>
          <w:b/>
          <w:bCs/>
          <w:szCs w:val="24"/>
          <w:lang w:val="en-US"/>
        </w:rPr>
        <w:t>4</w:t>
      </w:r>
      <w:r w:rsidRPr="00B358D8">
        <w:rPr>
          <w:szCs w:val="24"/>
        </w:rPr>
        <w:t xml:space="preserve"> (2.2%) were White and Black Caribbean</w:t>
      </w:r>
    </w:p>
    <w:p w14:paraId="01DDA1BC" w14:textId="5F47F5CC" w:rsidR="00A819A6" w:rsidRPr="00B358D8" w:rsidRDefault="00804195" w:rsidP="00B358D8">
      <w:pPr>
        <w:pStyle w:val="ListParagraph"/>
        <w:numPr>
          <w:ilvl w:val="0"/>
          <w:numId w:val="26"/>
        </w:numPr>
        <w:rPr>
          <w:szCs w:val="24"/>
        </w:rPr>
      </w:pPr>
      <w:r w:rsidRPr="00B358D8">
        <w:rPr>
          <w:b/>
          <w:bCs/>
          <w:szCs w:val="24"/>
        </w:rPr>
        <w:t>3</w:t>
      </w:r>
      <w:r w:rsidR="00A819A6" w:rsidRPr="00B358D8">
        <w:rPr>
          <w:szCs w:val="24"/>
        </w:rPr>
        <w:t xml:space="preserve"> </w:t>
      </w:r>
      <w:r w:rsidRPr="00B358D8">
        <w:rPr>
          <w:szCs w:val="24"/>
        </w:rPr>
        <w:t>(2.6</w:t>
      </w:r>
      <w:r w:rsidR="00A819A6" w:rsidRPr="00B358D8">
        <w:rPr>
          <w:szCs w:val="24"/>
        </w:rPr>
        <w:t xml:space="preserve">%) </w:t>
      </w:r>
      <w:r w:rsidRPr="00B358D8">
        <w:rPr>
          <w:szCs w:val="24"/>
        </w:rPr>
        <w:t>were of any other mixed or m</w:t>
      </w:r>
      <w:r w:rsidR="00A819A6" w:rsidRPr="00B358D8">
        <w:rPr>
          <w:szCs w:val="24"/>
        </w:rPr>
        <w:t>ultiple ethnic background</w:t>
      </w:r>
    </w:p>
    <w:p w14:paraId="76729D97" w14:textId="6080A8C4" w:rsidR="00010582" w:rsidRPr="00132A2C" w:rsidRDefault="00010582" w:rsidP="007E72F1"/>
    <w:p w14:paraId="77357324" w14:textId="17A61388" w:rsidR="000558F6" w:rsidRDefault="000558F6" w:rsidP="007E72F1">
      <w:pPr>
        <w:pStyle w:val="Heading3"/>
        <w:rPr>
          <w:lang w:val="en-US"/>
        </w:rPr>
      </w:pPr>
      <w:r>
        <w:rPr>
          <w:lang w:val="en-US"/>
        </w:rPr>
        <w:t>Other ethnic group</w:t>
      </w:r>
    </w:p>
    <w:p w14:paraId="0BCD111C" w14:textId="733D39A5" w:rsidR="00010582" w:rsidRPr="00B358D8" w:rsidRDefault="00010582" w:rsidP="00B358D8">
      <w:pPr>
        <w:pStyle w:val="ListParagraph"/>
        <w:numPr>
          <w:ilvl w:val="0"/>
          <w:numId w:val="27"/>
        </w:numPr>
        <w:rPr>
          <w:lang w:val="en-US"/>
        </w:rPr>
      </w:pPr>
      <w:r w:rsidRPr="00B358D8">
        <w:rPr>
          <w:b/>
          <w:bCs/>
          <w:lang w:val="en-US"/>
        </w:rPr>
        <w:t>2</w:t>
      </w:r>
      <w:r w:rsidRPr="00B358D8">
        <w:rPr>
          <w:lang w:val="en-US"/>
        </w:rPr>
        <w:t xml:space="preserve"> (1.1%) were Arab</w:t>
      </w:r>
    </w:p>
    <w:p w14:paraId="55160A54" w14:textId="78B29B14" w:rsidR="00010582" w:rsidRPr="00B358D8" w:rsidRDefault="00010582" w:rsidP="00B358D8">
      <w:pPr>
        <w:pStyle w:val="ListParagraph"/>
        <w:numPr>
          <w:ilvl w:val="0"/>
          <w:numId w:val="27"/>
        </w:numPr>
        <w:rPr>
          <w:lang w:val="en-US"/>
        </w:rPr>
      </w:pPr>
      <w:r w:rsidRPr="00B358D8">
        <w:rPr>
          <w:b/>
          <w:bCs/>
          <w:lang w:val="en-US"/>
        </w:rPr>
        <w:t>2</w:t>
      </w:r>
      <w:r w:rsidRPr="00B358D8">
        <w:rPr>
          <w:lang w:val="en-US"/>
        </w:rPr>
        <w:t xml:space="preserve"> (1.1%) were of any other ethnic group</w:t>
      </w:r>
    </w:p>
    <w:p w14:paraId="49972A55" w14:textId="5E148E07" w:rsidR="00010582" w:rsidRPr="00B358D8" w:rsidRDefault="00010582" w:rsidP="00B358D8">
      <w:pPr>
        <w:pStyle w:val="ListParagraph"/>
        <w:numPr>
          <w:ilvl w:val="0"/>
          <w:numId w:val="27"/>
        </w:numPr>
        <w:rPr>
          <w:lang w:val="en-US"/>
        </w:rPr>
      </w:pPr>
      <w:r w:rsidRPr="00B358D8">
        <w:rPr>
          <w:b/>
          <w:bCs/>
          <w:lang w:val="en-US"/>
        </w:rPr>
        <w:t xml:space="preserve">4 </w:t>
      </w:r>
      <w:r w:rsidRPr="00B358D8">
        <w:rPr>
          <w:lang w:val="en-US"/>
        </w:rPr>
        <w:t>(2.2%) responded ‘Don’t know’</w:t>
      </w:r>
    </w:p>
    <w:p w14:paraId="473FD559" w14:textId="592291B1" w:rsidR="00010582" w:rsidRPr="00B358D8" w:rsidRDefault="00010582" w:rsidP="00B358D8">
      <w:pPr>
        <w:pStyle w:val="ListParagraph"/>
        <w:numPr>
          <w:ilvl w:val="0"/>
          <w:numId w:val="27"/>
        </w:numPr>
        <w:rPr>
          <w:lang w:val="en-US"/>
        </w:rPr>
      </w:pPr>
      <w:r w:rsidRPr="00B358D8">
        <w:rPr>
          <w:b/>
          <w:bCs/>
          <w:lang w:val="en-US"/>
        </w:rPr>
        <w:t>1</w:t>
      </w:r>
      <w:r w:rsidRPr="00B358D8">
        <w:rPr>
          <w:lang w:val="en-US"/>
        </w:rPr>
        <w:t xml:space="preserve"> (0.5%) declined to answer</w:t>
      </w:r>
    </w:p>
    <w:p w14:paraId="59481355" w14:textId="4801852B" w:rsidR="000558F6" w:rsidRDefault="00010582" w:rsidP="00B358D8">
      <w:pPr>
        <w:pStyle w:val="ListParagraph"/>
        <w:numPr>
          <w:ilvl w:val="0"/>
          <w:numId w:val="27"/>
        </w:numPr>
        <w:rPr>
          <w:lang w:val="en-US"/>
        </w:rPr>
      </w:pPr>
      <w:r w:rsidRPr="00B358D8">
        <w:rPr>
          <w:b/>
          <w:bCs/>
          <w:lang w:val="en-US"/>
        </w:rPr>
        <w:t>10</w:t>
      </w:r>
      <w:r w:rsidRPr="00B358D8">
        <w:rPr>
          <w:lang w:val="en-US"/>
        </w:rPr>
        <w:t xml:space="preserve"> (5.4%) were not asked.</w:t>
      </w:r>
    </w:p>
    <w:p w14:paraId="7D5EB02A" w14:textId="77777777" w:rsidR="00B358D8" w:rsidRPr="00B358D8" w:rsidRDefault="00B358D8" w:rsidP="00B358D8">
      <w:pPr>
        <w:rPr>
          <w:lang w:val="en-US"/>
        </w:rPr>
      </w:pPr>
    </w:p>
    <w:p w14:paraId="07E30A52" w14:textId="439EF7DA" w:rsidR="000558F6" w:rsidRDefault="000558F6" w:rsidP="007E72F1">
      <w:pPr>
        <w:pStyle w:val="Heading3"/>
        <w:rPr>
          <w:lang w:val="en-US"/>
        </w:rPr>
      </w:pPr>
      <w:r>
        <w:rPr>
          <w:lang w:val="en-US"/>
        </w:rPr>
        <w:lastRenderedPageBreak/>
        <w:t>White</w:t>
      </w:r>
    </w:p>
    <w:p w14:paraId="7F14735F" w14:textId="5ED859A2" w:rsidR="000558F6" w:rsidRPr="00B358D8" w:rsidRDefault="000558F6" w:rsidP="00B358D8">
      <w:pPr>
        <w:pStyle w:val="ListParagraph"/>
        <w:numPr>
          <w:ilvl w:val="0"/>
          <w:numId w:val="28"/>
        </w:numPr>
        <w:rPr>
          <w:lang w:val="en-US"/>
        </w:rPr>
      </w:pPr>
      <w:r w:rsidRPr="00B358D8">
        <w:rPr>
          <w:b/>
          <w:bCs/>
          <w:lang w:val="en-US"/>
        </w:rPr>
        <w:t>83</w:t>
      </w:r>
      <w:r w:rsidRPr="00B358D8">
        <w:rPr>
          <w:lang w:val="en-US"/>
        </w:rPr>
        <w:t xml:space="preserve"> (45.1%) were British</w:t>
      </w:r>
    </w:p>
    <w:p w14:paraId="2CF38607" w14:textId="148A36DC" w:rsidR="000558F6" w:rsidRPr="00B358D8" w:rsidRDefault="000558F6" w:rsidP="00B358D8">
      <w:pPr>
        <w:pStyle w:val="ListParagraph"/>
        <w:numPr>
          <w:ilvl w:val="0"/>
          <w:numId w:val="28"/>
        </w:numPr>
        <w:rPr>
          <w:lang w:val="en-US"/>
        </w:rPr>
      </w:pPr>
      <w:r w:rsidRPr="00B358D8">
        <w:rPr>
          <w:b/>
          <w:bCs/>
          <w:lang w:val="en-US"/>
        </w:rPr>
        <w:t xml:space="preserve">7 </w:t>
      </w:r>
      <w:r w:rsidRPr="00B358D8">
        <w:rPr>
          <w:lang w:val="en-US"/>
        </w:rPr>
        <w:t>(3.8%) were Eastern European</w:t>
      </w:r>
    </w:p>
    <w:p w14:paraId="15674B59" w14:textId="556F5973" w:rsidR="000558F6" w:rsidRPr="00B358D8" w:rsidRDefault="000558F6" w:rsidP="00B358D8">
      <w:pPr>
        <w:pStyle w:val="ListParagraph"/>
        <w:numPr>
          <w:ilvl w:val="0"/>
          <w:numId w:val="28"/>
        </w:numPr>
        <w:rPr>
          <w:lang w:val="en-US"/>
        </w:rPr>
      </w:pPr>
      <w:r w:rsidRPr="00B358D8">
        <w:rPr>
          <w:b/>
          <w:bCs/>
          <w:lang w:val="en-US"/>
        </w:rPr>
        <w:t>1</w:t>
      </w:r>
      <w:r w:rsidRPr="00B358D8">
        <w:rPr>
          <w:lang w:val="en-US"/>
        </w:rPr>
        <w:t xml:space="preserve"> (0.5%) was Gypsy or Irish Traveller</w:t>
      </w:r>
    </w:p>
    <w:p w14:paraId="2BC764EC" w14:textId="5A7C66DF" w:rsidR="000558F6" w:rsidRPr="00B358D8" w:rsidRDefault="000558F6" w:rsidP="00B358D8">
      <w:pPr>
        <w:pStyle w:val="ListParagraph"/>
        <w:numPr>
          <w:ilvl w:val="0"/>
          <w:numId w:val="28"/>
        </w:numPr>
        <w:rPr>
          <w:lang w:val="en-US"/>
        </w:rPr>
      </w:pPr>
      <w:r w:rsidRPr="00B358D8">
        <w:rPr>
          <w:b/>
          <w:bCs/>
          <w:lang w:val="en-US"/>
        </w:rPr>
        <w:t>0</w:t>
      </w:r>
      <w:r w:rsidRPr="00B358D8">
        <w:rPr>
          <w:lang w:val="en-US"/>
        </w:rPr>
        <w:t xml:space="preserve"> were Irish</w:t>
      </w:r>
    </w:p>
    <w:p w14:paraId="71836176" w14:textId="0F7AD4C2" w:rsidR="000558F6" w:rsidRPr="00B358D8" w:rsidRDefault="000558F6" w:rsidP="00B358D8">
      <w:pPr>
        <w:pStyle w:val="ListParagraph"/>
        <w:numPr>
          <w:ilvl w:val="0"/>
          <w:numId w:val="28"/>
        </w:numPr>
        <w:rPr>
          <w:lang w:val="en-US"/>
        </w:rPr>
      </w:pPr>
      <w:r w:rsidRPr="00B358D8">
        <w:rPr>
          <w:b/>
          <w:bCs/>
          <w:lang w:val="en-US"/>
        </w:rPr>
        <w:t>19</w:t>
      </w:r>
      <w:r w:rsidRPr="00B358D8">
        <w:rPr>
          <w:lang w:val="en-US"/>
        </w:rPr>
        <w:t xml:space="preserve"> (10.3%) were any other White background.</w:t>
      </w:r>
    </w:p>
    <w:p w14:paraId="7640E0CD" w14:textId="77777777" w:rsidR="00010582" w:rsidRPr="000558F6" w:rsidRDefault="00010582" w:rsidP="007E72F1">
      <w:pPr>
        <w:rPr>
          <w:lang w:val="en-US"/>
        </w:rPr>
      </w:pPr>
    </w:p>
    <w:p w14:paraId="75BEB581" w14:textId="14BC18BC" w:rsidR="009808A8" w:rsidRDefault="009808A8" w:rsidP="00B358D8">
      <w:pPr>
        <w:pStyle w:val="Heading2"/>
        <w:rPr>
          <w:lang w:val="en-US"/>
        </w:rPr>
      </w:pPr>
      <w:bookmarkStart w:id="69" w:name="_Toc104475899"/>
      <w:bookmarkStart w:id="70" w:name="_Toc104535784"/>
      <w:r w:rsidRPr="00493AC6">
        <w:rPr>
          <w:lang w:val="en-US"/>
        </w:rPr>
        <w:t>Age</w:t>
      </w:r>
      <w:bookmarkEnd w:id="69"/>
      <w:bookmarkEnd w:id="70"/>
    </w:p>
    <w:p w14:paraId="15D84905" w14:textId="68A05518" w:rsidR="0069748A" w:rsidRDefault="0069748A" w:rsidP="007E72F1">
      <w:pPr>
        <w:rPr>
          <w:lang w:val="en-US"/>
        </w:rPr>
      </w:pPr>
      <w:r>
        <w:rPr>
          <w:lang w:val="en-US"/>
        </w:rPr>
        <w:t>Out of a total of 184 women who were supported by the project:</w:t>
      </w:r>
    </w:p>
    <w:p w14:paraId="0E694EF3" w14:textId="5F8A9A9D" w:rsidR="0069748A" w:rsidRPr="00B358D8" w:rsidRDefault="000558F6" w:rsidP="00B358D8">
      <w:pPr>
        <w:pStyle w:val="ListParagraph"/>
        <w:numPr>
          <w:ilvl w:val="0"/>
          <w:numId w:val="29"/>
        </w:numPr>
        <w:rPr>
          <w:lang w:val="en-US"/>
        </w:rPr>
      </w:pPr>
      <w:r w:rsidRPr="00B358D8">
        <w:rPr>
          <w:b/>
          <w:bCs/>
          <w:lang w:val="en-US"/>
        </w:rPr>
        <w:t>2</w:t>
      </w:r>
      <w:r w:rsidRPr="00B358D8">
        <w:rPr>
          <w:lang w:val="en-US"/>
        </w:rPr>
        <w:t xml:space="preserve"> (1.1</w:t>
      </w:r>
      <w:r w:rsidR="0069748A" w:rsidRPr="00B358D8">
        <w:rPr>
          <w:lang w:val="en-US"/>
        </w:rPr>
        <w:t>%) were aged between 16 and 20 years old</w:t>
      </w:r>
    </w:p>
    <w:p w14:paraId="79068A87" w14:textId="35C59851" w:rsidR="0069748A" w:rsidRPr="00B358D8" w:rsidRDefault="000558F6" w:rsidP="00B358D8">
      <w:pPr>
        <w:pStyle w:val="ListParagraph"/>
        <w:numPr>
          <w:ilvl w:val="0"/>
          <w:numId w:val="29"/>
        </w:numPr>
        <w:rPr>
          <w:lang w:val="en-US"/>
        </w:rPr>
      </w:pPr>
      <w:r w:rsidRPr="00B358D8">
        <w:rPr>
          <w:b/>
          <w:bCs/>
          <w:lang w:val="en-US"/>
        </w:rPr>
        <w:t>20</w:t>
      </w:r>
      <w:r w:rsidRPr="00B358D8">
        <w:rPr>
          <w:lang w:val="en-US"/>
        </w:rPr>
        <w:t xml:space="preserve"> (10.9</w:t>
      </w:r>
      <w:r w:rsidR="0069748A" w:rsidRPr="00B358D8">
        <w:rPr>
          <w:lang w:val="en-US"/>
        </w:rPr>
        <w:t>%) were aged between 21 and 20 years old</w:t>
      </w:r>
    </w:p>
    <w:p w14:paraId="0AFD5D79" w14:textId="41464968" w:rsidR="0069748A" w:rsidRPr="00B358D8" w:rsidRDefault="000558F6" w:rsidP="00B358D8">
      <w:pPr>
        <w:pStyle w:val="ListParagraph"/>
        <w:numPr>
          <w:ilvl w:val="0"/>
          <w:numId w:val="29"/>
        </w:numPr>
        <w:rPr>
          <w:lang w:val="en-US"/>
        </w:rPr>
      </w:pPr>
      <w:r w:rsidRPr="00B358D8">
        <w:rPr>
          <w:b/>
          <w:bCs/>
          <w:lang w:val="en-US"/>
        </w:rPr>
        <w:t>54</w:t>
      </w:r>
      <w:r w:rsidRPr="00B358D8">
        <w:rPr>
          <w:lang w:val="en-US"/>
        </w:rPr>
        <w:t xml:space="preserve"> (29.3</w:t>
      </w:r>
      <w:r w:rsidR="0069748A" w:rsidRPr="00B358D8">
        <w:rPr>
          <w:lang w:val="en-US"/>
        </w:rPr>
        <w:t>%) were aged between 31 and 40 years old</w:t>
      </w:r>
    </w:p>
    <w:p w14:paraId="34F7AB52" w14:textId="72CAB1C2" w:rsidR="0069748A" w:rsidRPr="00B358D8" w:rsidRDefault="000558F6" w:rsidP="00B358D8">
      <w:pPr>
        <w:pStyle w:val="ListParagraph"/>
        <w:numPr>
          <w:ilvl w:val="0"/>
          <w:numId w:val="29"/>
        </w:numPr>
        <w:rPr>
          <w:lang w:val="en-US"/>
        </w:rPr>
      </w:pPr>
      <w:r w:rsidRPr="00B358D8">
        <w:rPr>
          <w:b/>
          <w:bCs/>
          <w:lang w:val="en-US"/>
        </w:rPr>
        <w:t>19</w:t>
      </w:r>
      <w:r w:rsidRPr="00B358D8">
        <w:rPr>
          <w:lang w:val="en-US"/>
        </w:rPr>
        <w:t xml:space="preserve"> (10.3</w:t>
      </w:r>
      <w:r w:rsidR="0069748A" w:rsidRPr="00B358D8">
        <w:rPr>
          <w:lang w:val="en-US"/>
        </w:rPr>
        <w:t>%) were aged between 41 and 50 years old</w:t>
      </w:r>
    </w:p>
    <w:p w14:paraId="1C7443C1" w14:textId="47D684C9" w:rsidR="0069748A" w:rsidRPr="00B358D8" w:rsidRDefault="000558F6" w:rsidP="00B358D8">
      <w:pPr>
        <w:pStyle w:val="ListParagraph"/>
        <w:numPr>
          <w:ilvl w:val="0"/>
          <w:numId w:val="29"/>
        </w:numPr>
        <w:rPr>
          <w:lang w:val="en-US"/>
        </w:rPr>
      </w:pPr>
      <w:r w:rsidRPr="00B358D8">
        <w:rPr>
          <w:b/>
          <w:bCs/>
          <w:lang w:val="en-US"/>
        </w:rPr>
        <w:t xml:space="preserve">5 </w:t>
      </w:r>
      <w:r w:rsidRPr="00B358D8">
        <w:rPr>
          <w:lang w:val="en-US"/>
        </w:rPr>
        <w:t>(2.7</w:t>
      </w:r>
      <w:r w:rsidR="0069748A" w:rsidRPr="00B358D8">
        <w:rPr>
          <w:lang w:val="en-US"/>
        </w:rPr>
        <w:t>%) were aged between 51 and 60 years old</w:t>
      </w:r>
    </w:p>
    <w:p w14:paraId="33580A39" w14:textId="4D4C28F9" w:rsidR="0069748A" w:rsidRPr="00B358D8" w:rsidRDefault="000558F6" w:rsidP="00B358D8">
      <w:pPr>
        <w:pStyle w:val="ListParagraph"/>
        <w:numPr>
          <w:ilvl w:val="0"/>
          <w:numId w:val="29"/>
        </w:numPr>
        <w:rPr>
          <w:lang w:val="en-US"/>
        </w:rPr>
      </w:pPr>
      <w:r w:rsidRPr="00B358D8">
        <w:rPr>
          <w:b/>
          <w:bCs/>
          <w:lang w:val="en-US"/>
        </w:rPr>
        <w:t>2</w:t>
      </w:r>
      <w:r w:rsidRPr="00B358D8">
        <w:rPr>
          <w:lang w:val="en-US"/>
        </w:rPr>
        <w:t xml:space="preserve"> (1.1%) were</w:t>
      </w:r>
      <w:r w:rsidR="0069748A" w:rsidRPr="00B358D8">
        <w:rPr>
          <w:lang w:val="en-US"/>
        </w:rPr>
        <w:t xml:space="preserve"> aged between 61 and 70 years old</w:t>
      </w:r>
    </w:p>
    <w:p w14:paraId="538CEEA5" w14:textId="3C08F869" w:rsidR="0069748A" w:rsidRPr="00B358D8" w:rsidRDefault="0069748A" w:rsidP="00B358D8">
      <w:pPr>
        <w:pStyle w:val="ListParagraph"/>
        <w:numPr>
          <w:ilvl w:val="0"/>
          <w:numId w:val="29"/>
        </w:numPr>
        <w:rPr>
          <w:lang w:val="en-US"/>
        </w:rPr>
      </w:pPr>
      <w:r w:rsidRPr="00B358D8">
        <w:rPr>
          <w:lang w:val="en-US"/>
        </w:rPr>
        <w:t>There were no women aged between 70 and 79</w:t>
      </w:r>
      <w:r w:rsidR="000558F6" w:rsidRPr="00B358D8">
        <w:rPr>
          <w:lang w:val="en-US"/>
        </w:rPr>
        <w:t>, and no women over 80 years old.</w:t>
      </w:r>
    </w:p>
    <w:p w14:paraId="69ED6371" w14:textId="2688E4B6" w:rsidR="0069748A" w:rsidRPr="00B358D8" w:rsidRDefault="000558F6" w:rsidP="00B358D8">
      <w:pPr>
        <w:pStyle w:val="ListParagraph"/>
        <w:numPr>
          <w:ilvl w:val="0"/>
          <w:numId w:val="29"/>
        </w:numPr>
        <w:rPr>
          <w:lang w:val="en-US"/>
        </w:rPr>
      </w:pPr>
      <w:r w:rsidRPr="00B358D8">
        <w:rPr>
          <w:b/>
          <w:bCs/>
          <w:lang w:val="en-US"/>
        </w:rPr>
        <w:t>82</w:t>
      </w:r>
      <w:r w:rsidRPr="00B358D8">
        <w:rPr>
          <w:lang w:val="en-US"/>
        </w:rPr>
        <w:t xml:space="preserve"> (44.6</w:t>
      </w:r>
      <w:r w:rsidR="0069748A" w:rsidRPr="00B358D8">
        <w:rPr>
          <w:lang w:val="en-US"/>
        </w:rPr>
        <w:t>%) responded ‘Don’t know’</w:t>
      </w:r>
    </w:p>
    <w:p w14:paraId="556C946D" w14:textId="77777777" w:rsidR="0069748A" w:rsidRPr="00493AC6" w:rsidRDefault="0069748A" w:rsidP="007E72F1">
      <w:pPr>
        <w:rPr>
          <w:rFonts w:ascii="Open Sans" w:hAnsi="Open Sans" w:cs="Open Sans"/>
          <w:color w:val="B6006C"/>
          <w:sz w:val="26"/>
          <w:szCs w:val="26"/>
          <w:lang w:val="en-US"/>
        </w:rPr>
      </w:pPr>
    </w:p>
    <w:p w14:paraId="30460AFA" w14:textId="77777777" w:rsidR="000E1952" w:rsidRPr="00493AC6" w:rsidRDefault="000E1952" w:rsidP="00B358D8">
      <w:pPr>
        <w:pStyle w:val="Heading2"/>
        <w:rPr>
          <w:lang w:val="en-US"/>
        </w:rPr>
      </w:pPr>
      <w:bookmarkStart w:id="71" w:name="_Toc104475900"/>
      <w:bookmarkStart w:id="72" w:name="_Toc104535785"/>
      <w:r w:rsidRPr="00493AC6">
        <w:rPr>
          <w:lang w:val="en-US"/>
        </w:rPr>
        <w:t>Disability</w:t>
      </w:r>
      <w:bookmarkEnd w:id="71"/>
      <w:bookmarkEnd w:id="72"/>
    </w:p>
    <w:p w14:paraId="0F04396D" w14:textId="20D9B3D8" w:rsidR="0069748A" w:rsidRDefault="0069748A" w:rsidP="007E72F1">
      <w:r>
        <w:t>Out of a total of 184 women who were supported by the project and asked if they had a disability:</w:t>
      </w:r>
    </w:p>
    <w:p w14:paraId="5CF1A800" w14:textId="545654E8" w:rsidR="00FD5022" w:rsidRPr="00A8483B" w:rsidRDefault="00FD5022" w:rsidP="00B358D8">
      <w:pPr>
        <w:pStyle w:val="ListParagraph"/>
        <w:numPr>
          <w:ilvl w:val="0"/>
          <w:numId w:val="30"/>
        </w:numPr>
      </w:pPr>
      <w:r w:rsidRPr="00B358D8">
        <w:rPr>
          <w:b/>
          <w:bCs/>
        </w:rPr>
        <w:t>38</w:t>
      </w:r>
      <w:r>
        <w:t xml:space="preserve"> (20.6</w:t>
      </w:r>
      <w:r w:rsidRPr="00A8483B">
        <w:t>%) responded ‘Yes’</w:t>
      </w:r>
    </w:p>
    <w:p w14:paraId="3DC6DF38" w14:textId="0F7797A2" w:rsidR="00FD5022" w:rsidRPr="00A8483B" w:rsidRDefault="00FD5022" w:rsidP="00B358D8">
      <w:pPr>
        <w:pStyle w:val="ListParagraph"/>
        <w:numPr>
          <w:ilvl w:val="0"/>
          <w:numId w:val="30"/>
        </w:numPr>
      </w:pPr>
      <w:r w:rsidRPr="00B358D8">
        <w:rPr>
          <w:b/>
          <w:bCs/>
        </w:rPr>
        <w:lastRenderedPageBreak/>
        <w:t>129</w:t>
      </w:r>
      <w:r>
        <w:t xml:space="preserve"> (70.1</w:t>
      </w:r>
      <w:r w:rsidRPr="00A8483B">
        <w:t>%) responded ‘No’</w:t>
      </w:r>
    </w:p>
    <w:p w14:paraId="116E2B4F" w14:textId="004DC0F8" w:rsidR="00FD5022" w:rsidRPr="00A8483B" w:rsidRDefault="00FD5022" w:rsidP="00B358D8">
      <w:pPr>
        <w:pStyle w:val="ListParagraph"/>
        <w:numPr>
          <w:ilvl w:val="0"/>
          <w:numId w:val="30"/>
        </w:numPr>
      </w:pPr>
      <w:r w:rsidRPr="00B358D8">
        <w:rPr>
          <w:b/>
          <w:bCs/>
        </w:rPr>
        <w:t>4</w:t>
      </w:r>
      <w:r>
        <w:t xml:space="preserve"> (2.2</w:t>
      </w:r>
      <w:r w:rsidRPr="00A8483B">
        <w:t>%) responded ‘Don’t know’</w:t>
      </w:r>
    </w:p>
    <w:p w14:paraId="3045A5B4" w14:textId="5484C536" w:rsidR="00FD5022" w:rsidRPr="00A8483B" w:rsidRDefault="00FD5022" w:rsidP="00B358D8">
      <w:pPr>
        <w:pStyle w:val="ListParagraph"/>
        <w:numPr>
          <w:ilvl w:val="0"/>
          <w:numId w:val="30"/>
        </w:numPr>
      </w:pPr>
      <w:r w:rsidRPr="00B358D8">
        <w:rPr>
          <w:b/>
          <w:bCs/>
        </w:rPr>
        <w:t>13</w:t>
      </w:r>
      <w:r>
        <w:t xml:space="preserve"> (7.1</w:t>
      </w:r>
      <w:r w:rsidRPr="00A8483B">
        <w:t xml:space="preserve">%) </w:t>
      </w:r>
      <w:r>
        <w:t>were</w:t>
      </w:r>
      <w:r w:rsidRPr="00A8483B">
        <w:t xml:space="preserve"> not asked.</w:t>
      </w:r>
    </w:p>
    <w:p w14:paraId="29FA05E0" w14:textId="77777777" w:rsidR="000E1952" w:rsidRPr="00493AC6" w:rsidRDefault="000E1952" w:rsidP="007E72F1">
      <w:pPr>
        <w:rPr>
          <w:rFonts w:ascii="Open Sans" w:hAnsi="Open Sans" w:cs="Open Sans"/>
          <w:color w:val="B6006C"/>
          <w:sz w:val="26"/>
          <w:szCs w:val="26"/>
          <w:lang w:val="en-US"/>
        </w:rPr>
      </w:pPr>
    </w:p>
    <w:p w14:paraId="77C0310C" w14:textId="77777777" w:rsidR="006062E1" w:rsidRPr="00493AC6" w:rsidRDefault="006062E1" w:rsidP="007E72F1">
      <w:pPr>
        <w:pStyle w:val="Heading3"/>
        <w:rPr>
          <w:lang w:val="en-US"/>
        </w:rPr>
      </w:pPr>
      <w:r w:rsidRPr="00493AC6">
        <w:t>Type of disability</w:t>
      </w:r>
    </w:p>
    <w:p w14:paraId="481D9395" w14:textId="138BF867" w:rsidR="00FD5022" w:rsidRPr="00A8483B" w:rsidRDefault="00FD5022" w:rsidP="00B358D8">
      <w:pPr>
        <w:pStyle w:val="ListParagraph"/>
        <w:numPr>
          <w:ilvl w:val="0"/>
          <w:numId w:val="31"/>
        </w:numPr>
      </w:pPr>
      <w:r w:rsidRPr="00B358D8">
        <w:rPr>
          <w:b/>
          <w:bCs/>
        </w:rPr>
        <w:t xml:space="preserve">3 </w:t>
      </w:r>
      <w:r w:rsidRPr="0069748A">
        <w:t>(1.6%)</w:t>
      </w:r>
      <w:r w:rsidRPr="00A8483B">
        <w:t xml:space="preserve"> had a hearing disability</w:t>
      </w:r>
    </w:p>
    <w:p w14:paraId="31B39A70" w14:textId="36B2D475" w:rsidR="00FD5022" w:rsidRPr="00A8483B" w:rsidRDefault="00FD5022" w:rsidP="00B358D8">
      <w:pPr>
        <w:pStyle w:val="ListParagraph"/>
        <w:numPr>
          <w:ilvl w:val="0"/>
          <w:numId w:val="31"/>
        </w:numPr>
      </w:pPr>
      <w:r w:rsidRPr="00B358D8">
        <w:rPr>
          <w:b/>
          <w:bCs/>
        </w:rPr>
        <w:t xml:space="preserve">3 </w:t>
      </w:r>
      <w:r w:rsidRPr="0069748A">
        <w:t xml:space="preserve">(1.6%) </w:t>
      </w:r>
      <w:r w:rsidRPr="00A8483B">
        <w:t>had a learning disability</w:t>
      </w:r>
    </w:p>
    <w:p w14:paraId="52389653" w14:textId="363EC88F" w:rsidR="00FD5022" w:rsidRPr="00A8483B" w:rsidRDefault="00FD5022" w:rsidP="00B358D8">
      <w:pPr>
        <w:pStyle w:val="ListParagraph"/>
        <w:numPr>
          <w:ilvl w:val="0"/>
          <w:numId w:val="31"/>
        </w:numPr>
      </w:pPr>
      <w:r w:rsidRPr="00B358D8">
        <w:rPr>
          <w:b/>
          <w:bCs/>
        </w:rPr>
        <w:t xml:space="preserve">22 </w:t>
      </w:r>
      <w:r w:rsidRPr="0069748A">
        <w:t>(11.9%)</w:t>
      </w:r>
      <w:r w:rsidRPr="00A8483B">
        <w:t xml:space="preserve"> had a mental health disability</w:t>
      </w:r>
    </w:p>
    <w:p w14:paraId="5FEBCD9C" w14:textId="63CF37DE" w:rsidR="00FD5022" w:rsidRPr="00A8483B" w:rsidRDefault="00FD5022" w:rsidP="00B358D8">
      <w:pPr>
        <w:pStyle w:val="ListParagraph"/>
        <w:numPr>
          <w:ilvl w:val="0"/>
          <w:numId w:val="31"/>
        </w:numPr>
      </w:pPr>
      <w:r w:rsidRPr="00B358D8">
        <w:rPr>
          <w:b/>
          <w:bCs/>
        </w:rPr>
        <w:t xml:space="preserve">15 </w:t>
      </w:r>
      <w:r w:rsidRPr="0069748A">
        <w:t>(8.1%)</w:t>
      </w:r>
      <w:r w:rsidRPr="00A8483B">
        <w:t xml:space="preserve"> had a physical disability</w:t>
      </w:r>
    </w:p>
    <w:p w14:paraId="743BC33E" w14:textId="4D9A6069" w:rsidR="00FD5022" w:rsidRPr="00A8483B" w:rsidRDefault="00FD5022" w:rsidP="00B358D8">
      <w:pPr>
        <w:pStyle w:val="ListParagraph"/>
        <w:numPr>
          <w:ilvl w:val="0"/>
          <w:numId w:val="31"/>
        </w:numPr>
      </w:pPr>
      <w:r w:rsidRPr="00B358D8">
        <w:rPr>
          <w:b/>
          <w:bCs/>
        </w:rPr>
        <w:t xml:space="preserve">1 </w:t>
      </w:r>
      <w:r w:rsidRPr="0069748A">
        <w:t>(0.5%)</w:t>
      </w:r>
      <w:r w:rsidRPr="00A8483B">
        <w:t xml:space="preserve"> had a visual disability</w:t>
      </w:r>
    </w:p>
    <w:p w14:paraId="33BE1F1B" w14:textId="7BFBC165" w:rsidR="00FD5022" w:rsidRPr="00A8483B" w:rsidRDefault="00FD5022" w:rsidP="00B358D8">
      <w:pPr>
        <w:pStyle w:val="ListParagraph"/>
        <w:numPr>
          <w:ilvl w:val="0"/>
          <w:numId w:val="31"/>
        </w:numPr>
      </w:pPr>
      <w:r w:rsidRPr="00B358D8">
        <w:rPr>
          <w:b/>
          <w:bCs/>
        </w:rPr>
        <w:t xml:space="preserve">10 </w:t>
      </w:r>
      <w:r w:rsidRPr="0069748A">
        <w:t>(5.4%)</w:t>
      </w:r>
      <w:r w:rsidRPr="00A8483B">
        <w:t xml:space="preserve"> had a long-term health condition</w:t>
      </w:r>
    </w:p>
    <w:p w14:paraId="1FBC12C5" w14:textId="77777777" w:rsidR="00FD5022" w:rsidRPr="00A8483B" w:rsidRDefault="00FD5022" w:rsidP="00B358D8">
      <w:pPr>
        <w:pStyle w:val="ListParagraph"/>
        <w:numPr>
          <w:ilvl w:val="0"/>
          <w:numId w:val="31"/>
        </w:numPr>
      </w:pPr>
      <w:r w:rsidRPr="00B358D8">
        <w:rPr>
          <w:b/>
          <w:bCs/>
        </w:rPr>
        <w:t>0</w:t>
      </w:r>
      <w:r w:rsidRPr="00A8483B">
        <w:t xml:space="preserve"> had a speech impairment</w:t>
      </w:r>
    </w:p>
    <w:p w14:paraId="54901824" w14:textId="1F9794F1" w:rsidR="005E37A8" w:rsidRPr="00B358D8" w:rsidRDefault="00FD5022" w:rsidP="007E72F1">
      <w:pPr>
        <w:pStyle w:val="ListParagraph"/>
        <w:numPr>
          <w:ilvl w:val="0"/>
          <w:numId w:val="31"/>
        </w:numPr>
        <w:rPr>
          <w:sz w:val="24"/>
        </w:rPr>
      </w:pPr>
      <w:r>
        <w:t>In total, 38 (20.6</w:t>
      </w:r>
      <w:r w:rsidRPr="00A8483B">
        <w:t>%) women r</w:t>
      </w:r>
      <w:r>
        <w:t>eported a disability, and 14 (7.6</w:t>
      </w:r>
      <w:r w:rsidRPr="00A8483B">
        <w:t>%) reported more than one disability</w:t>
      </w:r>
      <w:r>
        <w:t>.</w:t>
      </w:r>
    </w:p>
    <w:sectPr w:rsidR="005E37A8" w:rsidRPr="00B358D8" w:rsidSect="00B55E60">
      <w:footerReference w:type="default" r:id="rId30"/>
      <w:headerReference w:type="first" r:id="rId31"/>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B3CC1C" w16cex:dateUtc="2022-03-24T11:40:06.249Z"/>
  <w16cex:commentExtensible w16cex:durableId="6FBCC63E" w16cex:dateUtc="2022-03-24T11:41:07.721Z"/>
  <w16cex:commentExtensible w16cex:durableId="0BA99206" w16cex:dateUtc="2022-03-24T11:49:22.95Z"/>
  <w16cex:commentExtensible w16cex:durableId="068CE17C" w16cex:dateUtc="2022-03-24T11:50:02.061Z"/>
  <w16cex:commentExtensible w16cex:durableId="3B33F23D" w16cex:dateUtc="2022-03-24T11:58:14.957Z"/>
  <w16cex:commentExtensible w16cex:durableId="144A337E" w16cex:dateUtc="2022-03-24T11:58:55.599Z"/>
  <w16cex:commentExtensible w16cex:durableId="743CCC71" w16cex:dateUtc="2022-03-24T12:07:58.8Z"/>
  <w16cex:commentExtensible w16cex:durableId="47F02FC9" w16cex:dateUtc="2022-03-24T12:10:19.834Z"/>
  <w16cex:commentExtensible w16cex:durableId="5611C3FF" w16cex:dateUtc="2022-03-24T13:33:11.685Z"/>
  <w16cex:commentExtensible w16cex:durableId="0D7E43F6" w16cex:dateUtc="2022-03-24T13:34:42.044Z"/>
  <w16cex:commentExtensible w16cex:durableId="76EE6B18" w16cex:dateUtc="2022-03-24T13:40:21.995Z"/>
  <w16cex:commentExtensible w16cex:durableId="31AD27AD" w16cex:dateUtc="2022-03-24T13:47:57.539Z"/>
  <w16cex:commentExtensible w16cex:durableId="52C30CDD" w16cex:dateUtc="2022-03-24T13:50:11.853Z"/>
  <w16cex:commentExtensible w16cex:durableId="40C58604" w16cex:dateUtc="2022-03-24T13:50:49.393Z"/>
  <w16cex:commentExtensible w16cex:durableId="01231A5A" w16cex:dateUtc="2022-03-24T13:53:00.045Z"/>
  <w16cex:commentExtensible w16cex:durableId="2D87C67C" w16cex:dateUtc="2022-03-24T13:55:39.341Z"/>
  <w16cex:commentExtensible w16cex:durableId="1FC3E899" w16cex:dateUtc="2022-03-24T14:37:15.533Z"/>
  <w16cex:commentExtensible w16cex:durableId="79BB2637" w16cex:dateUtc="2022-03-24T14:37:26.881Z"/>
  <w16cex:commentExtensible w16cex:durableId="6170BD45" w16cex:dateUtc="2022-03-24T14:38:06.712Z"/>
  <w16cex:commentExtensible w16cex:durableId="14E6938D" w16cex:dateUtc="2022-03-24T14:40:42.048Z"/>
  <w16cex:commentExtensible w16cex:durableId="3962CFC4" w16cex:dateUtc="2022-03-24T14:48:53.736Z"/>
  <w16cex:commentExtensible w16cex:durableId="59DC06E6" w16cex:dateUtc="2022-03-24T14:49:48.743Z"/>
  <w16cex:commentExtensible w16cex:durableId="4E11D49A" w16cex:dateUtc="2022-03-24T14:52:36.051Z"/>
  <w16cex:commentExtensible w16cex:durableId="53D67B79" w16cex:dateUtc="2022-03-24T15:00:50.655Z"/>
  <w16cex:commentExtensible w16cex:durableId="338BAF19" w16cex:dateUtc="2022-03-24T15:01:11.083Z"/>
  <w16cex:commentExtensible w16cex:durableId="57E821CB" w16cex:dateUtc="2022-03-24T15:44:47.235Z"/>
  <w16cex:commentExtensible w16cex:durableId="7503A327" w16cex:dateUtc="2022-03-24T15:46:31.804Z"/>
  <w16cex:commentExtensible w16cex:durableId="3D370472" w16cex:dateUtc="2022-03-24T15:46:45.364Z"/>
  <w16cex:commentExtensible w16cex:durableId="3D5FE3E8" w16cex:dateUtc="2022-03-24T15:48:06.147Z"/>
  <w16cex:commentExtensible w16cex:durableId="6FD696A0" w16cex:dateUtc="2022-03-24T15:49:17.119Z"/>
  <w16cex:commentExtensible w16cex:durableId="58545BCB" w16cex:dateUtc="2022-03-24T16:02:15.209Z"/>
  <w16cex:commentExtensible w16cex:durableId="475A6045" w16cex:dateUtc="2022-03-24T16:04:49.79Z"/>
  <w16cex:commentExtensible w16cex:durableId="762F7F62" w16cex:dateUtc="2022-03-24T16:10:11.613Z"/>
  <w16cex:commentExtensible w16cex:durableId="2DA06356" w16cex:dateUtc="2022-03-24T16:16:39.479Z"/>
  <w16cex:commentExtensible w16cex:durableId="26508880" w16cex:dateUtc="2022-03-24T16:17:22.388Z"/>
  <w16cex:commentExtensible w16cex:durableId="1C9F7AA7" w16cex:dateUtc="2022-03-24T16:19:15.551Z"/>
  <w16cex:commentExtensible w16cex:durableId="1850E34C" w16cex:dateUtc="2022-03-24T16:20:47.52Z"/>
  <w16cex:commentExtensible w16cex:durableId="60080974" w16cex:dateUtc="2022-03-24T16:21:09.244Z"/>
  <w16cex:commentExtensible w16cex:durableId="27C91823" w16cex:dateUtc="2022-03-24T16:21:46.807Z"/>
  <w16cex:commentExtensible w16cex:durableId="2CFC532D" w16cex:dateUtc="2022-03-24T16:22:31.358Z"/>
  <w16cex:commentExtensible w16cex:durableId="74C1D69E" w16cex:dateUtc="2022-03-24T16:23:52.329Z"/>
  <w16cex:commentExtensible w16cex:durableId="37CA25A7" w16cex:dateUtc="2022-03-24T16:31:14.647Z"/>
  <w16cex:commentExtensible w16cex:durableId="6B993C65" w16cex:dateUtc="2022-03-24T16:34:13.406Z"/>
  <w16cex:commentExtensible w16cex:durableId="710B6FE4" w16cex:dateUtc="2022-03-28T07:42:55.874Z"/>
  <w16cex:commentExtensible w16cex:durableId="4D72F608" w16cex:dateUtc="2022-03-28T07:44:08.69Z"/>
  <w16cex:commentExtensible w16cex:durableId="1AC1FE0A" w16cex:dateUtc="2022-03-28T07:48:06.299Z"/>
  <w16cex:commentExtensible w16cex:durableId="3E4F45D0" w16cex:dateUtc="2022-03-28T07:48:14.442Z"/>
  <w16cex:commentExtensible w16cex:durableId="149D9D1B" w16cex:dateUtc="2022-03-28T07:49:50.997Z"/>
  <w16cex:commentExtensible w16cex:durableId="7EBF55AB" w16cex:dateUtc="2022-03-28T07:56:03.945Z"/>
  <w16cex:commentExtensible w16cex:durableId="5A7DBB89" w16cex:dateUtc="2022-04-25T10:39:27.347Z"/>
  <w16cex:commentExtensible w16cex:durableId="63668B21" w16cex:dateUtc="2022-04-25T10:48:17.732Z"/>
  <w16cex:commentExtensible w16cex:durableId="2384FE82" w16cex:dateUtc="2022-04-25T10:59:58.012Z"/>
  <w16cex:commentExtensible w16cex:durableId="7140F046" w16cex:dateUtc="2022-04-26T13:57:38.893Z"/>
  <w16cex:commentExtensible w16cex:durableId="28A4BCE1" w16cex:dateUtc="2022-04-29T10:05:22.119Z"/>
  <w16cex:commentExtensible w16cex:durableId="07B22F7B" w16cex:dateUtc="2022-04-29T10:09:13.283Z"/>
  <w16cex:commentExtensible w16cex:durableId="29110BE8" w16cex:dateUtc="2022-05-02T08:20:27.3Z"/>
  <w16cex:commentExtensible w16cex:durableId="36F9A05F" w16cex:dateUtc="2022-05-02T08:35:05.238Z"/>
  <w16cex:commentExtensible w16cex:durableId="1447BA72" w16cex:dateUtc="2022-05-02T08:35:41.814Z"/>
  <w16cex:commentExtensible w16cex:durableId="43FE698D" w16cex:dateUtc="2022-05-02T08:48:11.164Z"/>
  <w16cex:commentExtensible w16cex:durableId="4F66E8F4" w16cex:dateUtc="2022-05-03T08:20:04.369Z"/>
  <w16cex:commentExtensible w16cex:durableId="008F524C" w16cex:dateUtc="2022-05-03T08:32:13.121Z"/>
  <w16cex:commentExtensible w16cex:durableId="058F5883" w16cex:dateUtc="2022-05-03T16:03:40.311Z"/>
  <w16cex:commentExtensible w16cex:durableId="38FE497C" w16cex:dateUtc="2022-05-03T16:11:28.765Z"/>
  <w16cex:commentExtensible w16cex:durableId="618E7FB1" w16cex:dateUtc="2022-05-03T16:17:11.605Z"/>
  <w16cex:commentExtensible w16cex:durableId="7321BE3D" w16cex:dateUtc="2022-05-03T16:17:42.744Z"/>
  <w16cex:commentExtensible w16cex:durableId="23134E26" w16cex:dateUtc="2022-05-03T16:19:17.828Z"/>
  <w16cex:commentExtensible w16cex:durableId="135073BE" w16cex:dateUtc="2022-05-03T16:20:29.256Z"/>
  <w16cex:commentExtensible w16cex:durableId="20D8D197" w16cex:dateUtc="2022-05-04T09:35:28.256Z"/>
  <w16cex:commentExtensible w16cex:durableId="67462DAE" w16cex:dateUtc="2022-05-04T09:37:30.973Z"/>
  <w16cex:commentExtensible w16cex:durableId="1AE50C5C" w16cex:dateUtc="2022-05-04T09:41:19.07Z"/>
  <w16cex:commentExtensible w16cex:durableId="5A672541" w16cex:dateUtc="2022-05-04T09:42:37.714Z"/>
  <w16cex:commentExtensible w16cex:durableId="0FA1059A" w16cex:dateUtc="2022-05-04T09:47:25.422Z"/>
  <w16cex:commentExtensible w16cex:durableId="6A7ECF39" w16cex:dateUtc="2022-05-04T09:49:14.28Z"/>
  <w16cex:commentExtensible w16cex:durableId="250A6DC8" w16cex:dateUtc="2022-05-04T10:00:11.61Z"/>
  <w16cex:commentExtensible w16cex:durableId="21C906A3" w16cex:dateUtc="2022-05-04T10:02:57.609Z"/>
  <w16cex:commentExtensible w16cex:durableId="2A507274" w16cex:dateUtc="2022-05-04T10:09:34.328Z"/>
  <w16cex:commentExtensible w16cex:durableId="0780534D" w16cex:dateUtc="2022-05-04T10:21:06.953Z"/>
  <w16cex:commentExtensible w16cex:durableId="4FD1F241" w16cex:dateUtc="2022-05-04T10:53:45.725Z"/>
  <w16cex:commentExtensible w16cex:durableId="68996DA1" w16cex:dateUtc="2022-05-04T10:55:28.772Z"/>
  <w16cex:commentExtensible w16cex:durableId="4A005441" w16cex:dateUtc="2022-05-04T11:08:26.056Z"/>
  <w16cex:commentExtensible w16cex:durableId="230F1193" w16cex:dateUtc="2022-05-04T11:13:23.83Z"/>
  <w16cex:commentExtensible w16cex:durableId="1A7A96ED" w16cex:dateUtc="2022-05-04T11:35:46.846Z"/>
  <w16cex:commentExtensible w16cex:durableId="079C59CB" w16cex:dateUtc="2022-05-04T12:00:35.378Z"/>
  <w16cex:commentExtensible w16cex:durableId="6AE39D84" w16cex:dateUtc="2022-05-04T13:11:11.31Z"/>
  <w16cex:commentExtensible w16cex:durableId="3E653252" w16cex:dateUtc="2022-05-04T13:13:09.521Z"/>
  <w16cex:commentExtensible w16cex:durableId="5B2B9415" w16cex:dateUtc="2022-05-04T13:26:48.264Z"/>
  <w16cex:commentExtensible w16cex:durableId="2C5A2C14" w16cex:dateUtc="2022-05-04T13:31:41.194Z"/>
  <w16cex:commentExtensible w16cex:durableId="3AC6BAB3" w16cex:dateUtc="2022-05-05T07:03:29.912Z"/>
  <w16cex:commentExtensible w16cex:durableId="6832EF2A" w16cex:dateUtc="2022-05-05T07:44:29.067Z"/>
</w16cex:commentsExtensible>
</file>

<file path=word/commentsIds.xml><?xml version="1.0" encoding="utf-8"?>
<w16cid:commentsIds xmlns:mc="http://schemas.openxmlformats.org/markup-compatibility/2006" xmlns:w16cid="http://schemas.microsoft.com/office/word/2016/wordml/cid" mc:Ignorable="w16cid">
  <w16cid:commentId w16cid:paraId="40273B38" w16cid:durableId="46BA3F9D"/>
  <w16cid:commentId w16cid:paraId="376682CF" w16cid:durableId="6CE8CC01"/>
  <w16cid:commentId w16cid:paraId="12EFBA3F" w16cid:durableId="05CFF948"/>
  <w16cid:commentId w16cid:paraId="344F0044" w16cid:durableId="6C161F0E"/>
  <w16cid:commentId w16cid:paraId="3BAE161B" w16cid:durableId="2D48576E"/>
  <w16cid:commentId w16cid:paraId="0A62D7C4" w16cid:durableId="493B5C4F"/>
  <w16cid:commentId w16cid:paraId="557AA6D6" w16cid:durableId="07418B30"/>
  <w16cid:commentId w16cid:paraId="3DF058F8" w16cid:durableId="2D75D544"/>
  <w16cid:commentId w16cid:paraId="25B94FCB" w16cid:durableId="7B77AC0F"/>
  <w16cid:commentId w16cid:paraId="7AAD2211" w16cid:durableId="740FA231"/>
  <w16cid:commentId w16cid:paraId="79604919" w16cid:durableId="0D8CCDB3"/>
  <w16cid:commentId w16cid:paraId="6F0384A1" w16cid:durableId="21D2F590"/>
  <w16cid:commentId w16cid:paraId="7554DBA5" w16cid:durableId="52B86490"/>
  <w16cid:commentId w16cid:paraId="1323C0CF" w16cid:durableId="216A4BEA"/>
  <w16cid:commentId w16cid:paraId="66B8806B" w16cid:durableId="67246AA8"/>
  <w16cid:commentId w16cid:paraId="43CA4B3F" w16cid:durableId="46134234"/>
  <w16cid:commentId w16cid:paraId="5B788480" w16cid:durableId="6C48AB35"/>
  <w16cid:commentId w16cid:paraId="36248409" w16cid:durableId="7BF150F1"/>
  <w16cid:commentId w16cid:paraId="6C3DCB7F" w16cid:durableId="067E2032"/>
  <w16cid:commentId w16cid:paraId="4FD1A32D" w16cid:durableId="650900E6"/>
  <w16cid:commentId w16cid:paraId="41522680" w16cid:durableId="0CAF5D2D"/>
  <w16cid:commentId w16cid:paraId="21259D8B" w16cid:durableId="3DB58190"/>
  <w16cid:commentId w16cid:paraId="6652666B" w16cid:durableId="17B3CC1C"/>
  <w16cid:commentId w16cid:paraId="224AD634" w16cid:durableId="6FBCC63E"/>
  <w16cid:commentId w16cid:paraId="3CD7931C" w16cid:durableId="0BA99206"/>
  <w16cid:commentId w16cid:paraId="4F3168F1" w16cid:durableId="068CE17C"/>
  <w16cid:commentId w16cid:paraId="1967E69F" w16cid:durableId="3B33F23D"/>
  <w16cid:commentId w16cid:paraId="0C9CDAD2" w16cid:durableId="144A337E"/>
  <w16cid:commentId w16cid:paraId="3D6CE474" w16cid:durableId="743CCC71"/>
  <w16cid:commentId w16cid:paraId="54EAC3DE" w16cid:durableId="47F02FC9"/>
  <w16cid:commentId w16cid:paraId="2C73A66F" w16cid:durableId="5611C3FF"/>
  <w16cid:commentId w16cid:paraId="39295C4B" w16cid:durableId="0D7E43F6"/>
  <w16cid:commentId w16cid:paraId="76FE7FA8" w16cid:durableId="76EE6B18"/>
  <w16cid:commentId w16cid:paraId="77443BC7" w16cid:durableId="31AD27AD"/>
  <w16cid:commentId w16cid:paraId="62C1C49D" w16cid:durableId="52C30CDD"/>
  <w16cid:commentId w16cid:paraId="147B17D5" w16cid:durableId="40C58604"/>
  <w16cid:commentId w16cid:paraId="71A4E8FA" w16cid:durableId="01231A5A"/>
  <w16cid:commentId w16cid:paraId="0B5C281A" w16cid:durableId="2D87C67C"/>
  <w16cid:commentId w16cid:paraId="71A98634" w16cid:durableId="1FC3E899"/>
  <w16cid:commentId w16cid:paraId="497ADE71" w16cid:durableId="79BB2637"/>
  <w16cid:commentId w16cid:paraId="2371E7E4" w16cid:durableId="6170BD45"/>
  <w16cid:commentId w16cid:paraId="53ADAAE1" w16cid:durableId="14E6938D"/>
  <w16cid:commentId w16cid:paraId="05BF9093" w16cid:durableId="3962CFC4"/>
  <w16cid:commentId w16cid:paraId="2617BCF5" w16cid:durableId="59DC06E6"/>
  <w16cid:commentId w16cid:paraId="6CECC8E2" w16cid:durableId="4E11D49A"/>
  <w16cid:commentId w16cid:paraId="0BF401EF" w16cid:durableId="53D67B79"/>
  <w16cid:commentId w16cid:paraId="391E73B1" w16cid:durableId="338BAF19"/>
  <w16cid:commentId w16cid:paraId="2C4C2122" w16cid:durableId="57E821CB"/>
  <w16cid:commentId w16cid:paraId="29B93D90" w16cid:durableId="7503A327"/>
  <w16cid:commentId w16cid:paraId="38647E93" w16cid:durableId="3D370472"/>
  <w16cid:commentId w16cid:paraId="4CB5D751" w16cid:durableId="3D5FE3E8"/>
  <w16cid:commentId w16cid:paraId="7AF0117E" w16cid:durableId="6FD696A0"/>
  <w16cid:commentId w16cid:paraId="55E8FE4F" w16cid:durableId="58545BCB"/>
  <w16cid:commentId w16cid:paraId="4758F406" w16cid:durableId="475A6045"/>
  <w16cid:commentId w16cid:paraId="2A82A3F0" w16cid:durableId="762F7F62"/>
  <w16cid:commentId w16cid:paraId="5A04AB57" w16cid:durableId="2DA06356"/>
  <w16cid:commentId w16cid:paraId="26F4DC47" w16cid:durableId="26508880"/>
  <w16cid:commentId w16cid:paraId="53B840B0" w16cid:durableId="1C9F7AA7"/>
  <w16cid:commentId w16cid:paraId="0E744118" w16cid:durableId="1850E34C"/>
  <w16cid:commentId w16cid:paraId="4112CA00" w16cid:durableId="60080974"/>
  <w16cid:commentId w16cid:paraId="57703CFC" w16cid:durableId="27C91823"/>
  <w16cid:commentId w16cid:paraId="19F9E3DA" w16cid:durableId="2CFC532D"/>
  <w16cid:commentId w16cid:paraId="2732CBB8" w16cid:durableId="74C1D69E"/>
  <w16cid:commentId w16cid:paraId="376CF373" w16cid:durableId="37CA25A7"/>
  <w16cid:commentId w16cid:paraId="54EC7FDC" w16cid:durableId="6B993C65"/>
  <w16cid:commentId w16cid:paraId="73E7729C" w16cid:durableId="710B6FE4"/>
  <w16cid:commentId w16cid:paraId="1016295E" w16cid:durableId="4D72F608"/>
  <w16cid:commentId w16cid:paraId="68658BB6" w16cid:durableId="1AC1FE0A"/>
  <w16cid:commentId w16cid:paraId="3960B6AF" w16cid:durableId="3E4F45D0"/>
  <w16cid:commentId w16cid:paraId="3872C2D3" w16cid:durableId="149D9D1B"/>
  <w16cid:commentId w16cid:paraId="15934561" w16cid:durableId="7EBF55AB"/>
  <w16cid:commentId w16cid:paraId="23C3954A" w16cid:durableId="4C8DFDD7"/>
  <w16cid:commentId w16cid:paraId="3A038C37" w16cid:durableId="45C0DE12"/>
  <w16cid:commentId w16cid:paraId="5448587F" w16cid:durableId="41E635C7"/>
  <w16cid:commentId w16cid:paraId="3BA35174" w16cid:durableId="1FC83303"/>
  <w16cid:commentId w16cid:paraId="0F25C3BB" w16cid:durableId="5137E202"/>
  <w16cid:commentId w16cid:paraId="7B8CB1A9" w16cid:durableId="78B46592"/>
  <w16cid:commentId w16cid:paraId="3A72E0B1" w16cid:durableId="7DF387F3"/>
  <w16cid:commentId w16cid:paraId="75EFBF48" w16cid:durableId="1575F439"/>
  <w16cid:commentId w16cid:paraId="6B672437" w16cid:durableId="7DCE0C43"/>
  <w16cid:commentId w16cid:paraId="303B67D9" w16cid:durableId="27A52F0C"/>
  <w16cid:commentId w16cid:paraId="68CD1ECF" w16cid:durableId="753DBEFA"/>
  <w16cid:commentId w16cid:paraId="443C6359" w16cid:durableId="3D4AE3F4"/>
  <w16cid:commentId w16cid:paraId="5CC1579D" w16cid:durableId="567999EB"/>
  <w16cid:commentId w16cid:paraId="2C74FD87" w16cid:durableId="44EE94A8"/>
  <w16cid:commentId w16cid:paraId="7844CCE6" w16cid:durableId="027E9429"/>
  <w16cid:commentId w16cid:paraId="118E9653" w16cid:durableId="053E6529"/>
  <w16cid:commentId w16cid:paraId="0DB88CD4" w16cid:durableId="28421643"/>
  <w16cid:commentId w16cid:paraId="7E73F88C" w16cid:durableId="1AC24196"/>
  <w16cid:commentId w16cid:paraId="2D71FFCF" w16cid:durableId="2A89CC6B"/>
  <w16cid:commentId w16cid:paraId="26455B02" w16cid:durableId="51028CE0"/>
  <w16cid:commentId w16cid:paraId="66D5D980" w16cid:durableId="62708817"/>
  <w16cid:commentId w16cid:paraId="55AEF142" w16cid:durableId="6316B8C9"/>
  <w16cid:commentId w16cid:paraId="637D0D0F" w16cid:durableId="72A1F052"/>
  <w16cid:commentId w16cid:paraId="79F8FC18" w16cid:durableId="34D8FC94"/>
  <w16cid:commentId w16cid:paraId="4DEF359B" w16cid:durableId="78C80798"/>
  <w16cid:commentId w16cid:paraId="0402F3C3" w16cid:durableId="1811C45E"/>
  <w16cid:commentId w16cid:paraId="71BD9346" w16cid:durableId="5A7DBB89"/>
  <w16cid:commentId w16cid:paraId="7AFA8E3A" w16cid:durableId="63668B21"/>
  <w16cid:commentId w16cid:paraId="74FEC16C" w16cid:durableId="2384FE82"/>
  <w16cid:commentId w16cid:paraId="6830CF16" w16cid:durableId="7140F046"/>
  <w16cid:commentId w16cid:paraId="75563538" w16cid:durableId="269551D8"/>
  <w16cid:commentId w16cid:paraId="0744AEB1" w16cid:durableId="117D0FC4"/>
  <w16cid:commentId w16cid:paraId="70EE6DD3" w16cid:durableId="2704F9DC"/>
  <w16cid:commentId w16cid:paraId="05F83A55" w16cid:durableId="037775D8"/>
  <w16cid:commentId w16cid:paraId="1EE279F7" w16cid:durableId="30EA9EE8"/>
  <w16cid:commentId w16cid:paraId="716DBD36" w16cid:durableId="2036D39D"/>
  <w16cid:commentId w16cid:paraId="1A00C192" w16cid:durableId="7D905DB1"/>
  <w16cid:commentId w16cid:paraId="57ECD80A" w16cid:durableId="635AB88F"/>
  <w16cid:commentId w16cid:paraId="2A0EC8BF" w16cid:durableId="28469D34"/>
  <w16cid:commentId w16cid:paraId="1437FE89" w16cid:durableId="6B64D8DF"/>
  <w16cid:commentId w16cid:paraId="745CBC8B" w16cid:durableId="5C182382"/>
  <w16cid:commentId w16cid:paraId="432C9B9F" w16cid:durableId="3B6AD02E"/>
  <w16cid:commentId w16cid:paraId="215AF20A" w16cid:durableId="35A804B0"/>
  <w16cid:commentId w16cid:paraId="390423DA" w16cid:durableId="05CF1F35"/>
  <w16cid:commentId w16cid:paraId="76C5CDC3" w16cid:durableId="70DC8F87"/>
  <w16cid:commentId w16cid:paraId="6EE04134" w16cid:durableId="7934362C"/>
  <w16cid:commentId w16cid:paraId="7B9705EE" w16cid:durableId="0B7D68AD"/>
  <w16cid:commentId w16cid:paraId="2C324E05" w16cid:durableId="133E5BC4"/>
  <w16cid:commentId w16cid:paraId="7E76B2BC" w16cid:durableId="6461D170"/>
  <w16cid:commentId w16cid:paraId="20E7DF79" w16cid:durableId="7D9CA126"/>
  <w16cid:commentId w16cid:paraId="7A74EDA2" w16cid:durableId="4F019806"/>
  <w16cid:commentId w16cid:paraId="10074CEC" w16cid:durableId="75CDB753"/>
  <w16cid:commentId w16cid:paraId="09C1FEB5" w16cid:durableId="5EF5998B"/>
  <w16cid:commentId w16cid:paraId="72CD6765" w16cid:durableId="29B8A1B6"/>
  <w16cid:commentId w16cid:paraId="4D047E29" w16cid:durableId="465FD5D0"/>
  <w16cid:commentId w16cid:paraId="4D2F4809" w16cid:durableId="240BD581"/>
  <w16cid:commentId w16cid:paraId="461E7DD2" w16cid:durableId="7BBFBFED"/>
  <w16cid:commentId w16cid:paraId="4068B719" w16cid:durableId="6791BB2F"/>
  <w16cid:commentId w16cid:paraId="0C450982" w16cid:durableId="0A4DF99C"/>
  <w16cid:commentId w16cid:paraId="2FB07BFC" w16cid:durableId="0997DEB6"/>
  <w16cid:commentId w16cid:paraId="60320270" w16cid:durableId="20BCD132"/>
  <w16cid:commentId w16cid:paraId="4F8A8862" w16cid:durableId="22AFF475"/>
  <w16cid:commentId w16cid:paraId="48FE4E0C" w16cid:durableId="4418553F"/>
  <w16cid:commentId w16cid:paraId="109EEE5F" w16cid:durableId="09F0A89C"/>
  <w16cid:commentId w16cid:paraId="3C2B7307" w16cid:durableId="62D7C145"/>
  <w16cid:commentId w16cid:paraId="69E89614" w16cid:durableId="5534ED20"/>
  <w16cid:commentId w16cid:paraId="0744CBDE" w16cid:durableId="04440178"/>
  <w16cid:commentId w16cid:paraId="037C9B86" w16cid:durableId="40DB51B0"/>
  <w16cid:commentId w16cid:paraId="074C64DC" w16cid:durableId="08DF1DD1"/>
  <w16cid:commentId w16cid:paraId="7FC6D382" w16cid:durableId="7F95D5C9"/>
  <w16cid:commentId w16cid:paraId="1AD2627F" w16cid:durableId="12279354"/>
  <w16cid:commentId w16cid:paraId="141964D3" w16cid:durableId="1B8F0185"/>
  <w16cid:commentId w16cid:paraId="2D3DBF75" w16cid:durableId="316DA1E6"/>
  <w16cid:commentId w16cid:paraId="34E6A5F3" w16cid:durableId="4309BFBB"/>
  <w16cid:commentId w16cid:paraId="3F1E511F" w16cid:durableId="2D5CABA1"/>
  <w16cid:commentId w16cid:paraId="0F7928D5" w16cid:durableId="655E7A30"/>
  <w16cid:commentId w16cid:paraId="362026C8" w16cid:durableId="6342E154"/>
  <w16cid:commentId w16cid:paraId="6A112568" w16cid:durableId="7670084F"/>
  <w16cid:commentId w16cid:paraId="3B2F5D9A" w16cid:durableId="7A6A80BB"/>
  <w16cid:commentId w16cid:paraId="0A7C915D" w16cid:durableId="5F2D6307"/>
  <w16cid:commentId w16cid:paraId="67E153EE" w16cid:durableId="13AB94F1"/>
  <w16cid:commentId w16cid:paraId="7813B7C3" w16cid:durableId="203D1A22"/>
  <w16cid:commentId w16cid:paraId="1AF56CD1" w16cid:durableId="728F0F79"/>
  <w16cid:commentId w16cid:paraId="744866F0" w16cid:durableId="6D3ABF05"/>
  <w16cid:commentId w16cid:paraId="4A5DC5AD" w16cid:durableId="153D6358"/>
  <w16cid:commentId w16cid:paraId="0A754D20" w16cid:durableId="30C79A84"/>
  <w16cid:commentId w16cid:paraId="511C7ED8" w16cid:durableId="32877638"/>
  <w16cid:commentId w16cid:paraId="4D3B037A" w16cid:durableId="7D4C5825"/>
  <w16cid:commentId w16cid:paraId="714EED9C" w16cid:durableId="3D17A007"/>
  <w16cid:commentId w16cid:paraId="6C014572" w16cid:durableId="0CDEC967"/>
  <w16cid:commentId w16cid:paraId="12027C17" w16cid:durableId="247713AF"/>
  <w16cid:commentId w16cid:paraId="045F4504" w16cid:durableId="15FEA282"/>
  <w16cid:commentId w16cid:paraId="07D2165C" w16cid:durableId="590CBEF3"/>
  <w16cid:commentId w16cid:paraId="21B08949" w16cid:durableId="1EAEBE7E"/>
  <w16cid:commentId w16cid:paraId="0C8F8266" w16cid:durableId="4AA807AD"/>
  <w16cid:commentId w16cid:paraId="788A4477" w16cid:durableId="39682F0D"/>
  <w16cid:commentId w16cid:paraId="7AE79F9F" w16cid:durableId="77527AEE"/>
  <w16cid:commentId w16cid:paraId="6B717905" w16cid:durableId="2BB75C14"/>
  <w16cid:commentId w16cid:paraId="7B3CB551" w16cid:durableId="22F75DEF"/>
  <w16cid:commentId w16cid:paraId="6304D20B" w16cid:durableId="1BA7A267"/>
  <w16cid:commentId w16cid:paraId="4AFAE64F" w16cid:durableId="74F034B4"/>
  <w16cid:commentId w16cid:paraId="16623746" w16cid:durableId="4AA216FC"/>
  <w16cid:commentId w16cid:paraId="3F782371" w16cid:durableId="0A5F3DF3"/>
  <w16cid:commentId w16cid:paraId="036B69D6" w16cid:durableId="64CBFBA6"/>
  <w16cid:commentId w16cid:paraId="4B7033C8" w16cid:durableId="6B750DD2"/>
  <w16cid:commentId w16cid:paraId="2A7F53F4" w16cid:durableId="33729681"/>
  <w16cid:commentId w16cid:paraId="6D477A3C" w16cid:durableId="4460156D"/>
  <w16cid:commentId w16cid:paraId="4C37159C" w16cid:durableId="1BEBD9D0"/>
  <w16cid:commentId w16cid:paraId="4AC7E0A0" w16cid:durableId="7C5BF614"/>
  <w16cid:commentId w16cid:paraId="71014891" w16cid:durableId="61015B9F"/>
  <w16cid:commentId w16cid:paraId="7BB687B8" w16cid:durableId="40C8F42C"/>
  <w16cid:commentId w16cid:paraId="1A87F052" w16cid:durableId="054FB79E"/>
  <w16cid:commentId w16cid:paraId="5949D8D6" w16cid:durableId="6D273A73"/>
  <w16cid:commentId w16cid:paraId="011074D2" w16cid:durableId="2B209694"/>
  <w16cid:commentId w16cid:paraId="6F5E3F0E" w16cid:durableId="75EC49C4"/>
  <w16cid:commentId w16cid:paraId="068D3E85" w16cid:durableId="007FB710"/>
  <w16cid:commentId w16cid:paraId="0DA5E0B8" w16cid:durableId="3020E4FB"/>
  <w16cid:commentId w16cid:paraId="2FAAAFC3" w16cid:durableId="56DD9639"/>
  <w16cid:commentId w16cid:paraId="233FBA7E" w16cid:durableId="74B34543"/>
  <w16cid:commentId w16cid:paraId="44732055" w16cid:durableId="321026C1"/>
  <w16cid:commentId w16cid:paraId="140678D5" w16cid:durableId="22AD76E8"/>
  <w16cid:commentId w16cid:paraId="20F387B3" w16cid:durableId="06F7A952"/>
  <w16cid:commentId w16cid:paraId="4225992B" w16cid:durableId="03C3B1A9"/>
  <w16cid:commentId w16cid:paraId="3989CBE9" w16cid:durableId="7C005469"/>
  <w16cid:commentId w16cid:paraId="76607C36" w16cid:durableId="5B1EC21A"/>
  <w16cid:commentId w16cid:paraId="6E8A2A43" w16cid:durableId="7C28F0D1"/>
  <w16cid:commentId w16cid:paraId="3771CB7B" w16cid:durableId="42824291"/>
  <w16cid:commentId w16cid:paraId="239804C1" w16cid:durableId="12BEE368"/>
  <w16cid:commentId w16cid:paraId="12120615" w16cid:durableId="7861B80D"/>
  <w16cid:commentId w16cid:paraId="19FB1624" w16cid:durableId="73F47C93"/>
  <w16cid:commentId w16cid:paraId="0F77273F" w16cid:durableId="6E0BFF41"/>
  <w16cid:commentId w16cid:paraId="6929592D" w16cid:durableId="378B8540"/>
  <w16cid:commentId w16cid:paraId="295F6D78" w16cid:durableId="5378AA60"/>
  <w16cid:commentId w16cid:paraId="5B319639" w16cid:durableId="5EC2DE54"/>
  <w16cid:commentId w16cid:paraId="724F0383" w16cid:durableId="6A3D2E52"/>
  <w16cid:commentId w16cid:paraId="5C46B592" w16cid:durableId="49097DF4"/>
  <w16cid:commentId w16cid:paraId="59589569" w16cid:durableId="28A4BCE1"/>
  <w16cid:commentId w16cid:paraId="1D782B92" w16cid:durableId="07B22F7B"/>
  <w16cid:commentId w16cid:paraId="7CF6A4AD" w16cid:durableId="2E819B14"/>
  <w16cid:commentId w16cid:paraId="544277C8" w16cid:durableId="46D9DE96"/>
  <w16cid:commentId w16cid:paraId="3C20F944" w16cid:durableId="29110BE8"/>
  <w16cid:commentId w16cid:paraId="0BAB6FA4" w16cid:durableId="36F9A05F"/>
  <w16cid:commentId w16cid:paraId="06041D7D" w16cid:durableId="1447BA72"/>
  <w16cid:commentId w16cid:paraId="6E4E2EC4" w16cid:durableId="2FEDDAA0"/>
  <w16cid:commentId w16cid:paraId="00BAFB01" w16cid:durableId="3B013804"/>
  <w16cid:commentId w16cid:paraId="26D8C7F9" w16cid:durableId="43FE698D"/>
  <w16cid:commentId w16cid:paraId="66DDCF85" w16cid:durableId="4F66E8F4"/>
  <w16cid:commentId w16cid:paraId="337C8D09" w16cid:durableId="008F524C"/>
  <w16cid:commentId w16cid:paraId="4A4BE5C4" w16cid:durableId="2B2E31B2"/>
  <w16cid:commentId w16cid:paraId="0A82D6B8" w16cid:durableId="7F59E691"/>
  <w16cid:commentId w16cid:paraId="05FF58A2" w16cid:durableId="25875DF6"/>
  <w16cid:commentId w16cid:paraId="706BC75C" w16cid:durableId="3655D033"/>
  <w16cid:commentId w16cid:paraId="7CF9B067" w16cid:durableId="70E17FAE"/>
  <w16cid:commentId w16cid:paraId="341857BA" w16cid:durableId="4D8F3BEA"/>
  <w16cid:commentId w16cid:paraId="76811B78" w16cid:durableId="249A21CD"/>
  <w16cid:commentId w16cid:paraId="1CDC0100" w16cid:durableId="0E18B6E0"/>
  <w16cid:commentId w16cid:paraId="11D6369D" w16cid:durableId="01FF6ECA"/>
  <w16cid:commentId w16cid:paraId="22FC9F2B" w16cid:durableId="2299A14D"/>
  <w16cid:commentId w16cid:paraId="16439A72" w16cid:durableId="2E0C3094"/>
  <w16cid:commentId w16cid:paraId="24AF5E4E" w16cid:durableId="3DE77C33"/>
  <w16cid:commentId w16cid:paraId="42A02855" w16cid:durableId="058F5883"/>
  <w16cid:commentId w16cid:paraId="79DEF72E" w16cid:durableId="38FE497C"/>
  <w16cid:commentId w16cid:paraId="36FC0A12" w16cid:durableId="618E7FB1"/>
  <w16cid:commentId w16cid:paraId="66930CD2" w16cid:durableId="7321BE3D"/>
  <w16cid:commentId w16cid:paraId="6C7C2BAC" w16cid:durableId="23134E26"/>
  <w16cid:commentId w16cid:paraId="33B01DAF" w16cid:durableId="135073BE"/>
  <w16cid:commentId w16cid:paraId="4B0ED498" w16cid:durableId="20D8D197"/>
  <w16cid:commentId w16cid:paraId="21D1A38D" w16cid:durableId="67462DAE"/>
  <w16cid:commentId w16cid:paraId="0B57D0D8" w16cid:durableId="1AE50C5C"/>
  <w16cid:commentId w16cid:paraId="70CD3603" w16cid:durableId="5A672541"/>
  <w16cid:commentId w16cid:paraId="76ACD1A4" w16cid:durableId="0FA1059A"/>
  <w16cid:commentId w16cid:paraId="2816F6E6" w16cid:durableId="6A7ECF39"/>
  <w16cid:commentId w16cid:paraId="51CBBEE9" w16cid:durableId="250A6DC8"/>
  <w16cid:commentId w16cid:paraId="68F47C6F" w16cid:durableId="21C906A3"/>
  <w16cid:commentId w16cid:paraId="3385ACBD" w16cid:durableId="2A507274"/>
  <w16cid:commentId w16cid:paraId="41FCF214" w16cid:durableId="0780534D"/>
  <w16cid:commentId w16cid:paraId="69A70D02" w16cid:durableId="4FD1F241"/>
  <w16cid:commentId w16cid:paraId="1C9C1542" w16cid:durableId="68996DA1"/>
  <w16cid:commentId w16cid:paraId="292C3595" w16cid:durableId="4A005441"/>
  <w16cid:commentId w16cid:paraId="469E5394" w16cid:durableId="230F1193"/>
  <w16cid:commentId w16cid:paraId="2D9BE167" w16cid:durableId="1A7A96ED"/>
  <w16cid:commentId w16cid:paraId="7893BD44" w16cid:durableId="079C59CB"/>
  <w16cid:commentId w16cid:paraId="4AB63717" w16cid:durableId="6AE39D84"/>
  <w16cid:commentId w16cid:paraId="112BE63C" w16cid:durableId="3E653252"/>
  <w16cid:commentId w16cid:paraId="377BCE04" w16cid:durableId="5B2B9415"/>
  <w16cid:commentId w16cid:paraId="0D6B23C9" w16cid:durableId="2C5A2C14"/>
  <w16cid:commentId w16cid:paraId="52544733" w16cid:durableId="3AC6BAB3"/>
  <w16cid:commentId w16cid:paraId="5EF72AC8" w16cid:durableId="6832EF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B730" w14:textId="77777777" w:rsidR="00AC2EB1" w:rsidRDefault="00AC2EB1" w:rsidP="00942AA3">
      <w:pPr>
        <w:spacing w:after="0" w:line="240" w:lineRule="auto"/>
      </w:pPr>
      <w:r>
        <w:separator/>
      </w:r>
    </w:p>
  </w:endnote>
  <w:endnote w:type="continuationSeparator" w:id="0">
    <w:p w14:paraId="717EF1BF" w14:textId="77777777" w:rsidR="00AC2EB1" w:rsidRDefault="00AC2EB1" w:rsidP="00942AA3">
      <w:pPr>
        <w:spacing w:after="0" w:line="240" w:lineRule="auto"/>
      </w:pPr>
      <w:r>
        <w:continuationSeparator/>
      </w:r>
    </w:p>
  </w:endnote>
  <w:endnote w:type="continuationNotice" w:id="1">
    <w:p w14:paraId="46443EEA" w14:textId="77777777" w:rsidR="00AC2EB1" w:rsidRDefault="00AC2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honar Bangl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96478"/>
      <w:docPartObj>
        <w:docPartGallery w:val="Page Numbers (Bottom of Page)"/>
        <w:docPartUnique/>
      </w:docPartObj>
    </w:sdtPr>
    <w:sdtEndPr>
      <w:rPr>
        <w:noProof/>
      </w:rPr>
    </w:sdtEndPr>
    <w:sdtContent>
      <w:p w14:paraId="4EB571D8" w14:textId="16CAA0CE" w:rsidR="00A544B3" w:rsidRDefault="00A544B3">
        <w:pPr>
          <w:pStyle w:val="Footer"/>
          <w:jc w:val="right"/>
        </w:pPr>
        <w:r>
          <w:fldChar w:fldCharType="begin"/>
        </w:r>
        <w:r>
          <w:instrText xml:space="preserve"> PAGE   \* MERGEFORMAT </w:instrText>
        </w:r>
        <w:r>
          <w:fldChar w:fldCharType="separate"/>
        </w:r>
        <w:r w:rsidR="00DE6642">
          <w:rPr>
            <w:noProof/>
          </w:rPr>
          <w:t>20</w:t>
        </w:r>
        <w:r>
          <w:rPr>
            <w:noProof/>
          </w:rPr>
          <w:fldChar w:fldCharType="end"/>
        </w:r>
      </w:p>
    </w:sdtContent>
  </w:sdt>
  <w:p w14:paraId="56A8727B" w14:textId="5EC535FF" w:rsidR="00A544B3" w:rsidRDefault="00A544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88A8" w14:textId="77777777" w:rsidR="00AC2EB1" w:rsidRDefault="00AC2EB1" w:rsidP="00942AA3">
      <w:pPr>
        <w:spacing w:after="0" w:line="240" w:lineRule="auto"/>
      </w:pPr>
      <w:r>
        <w:separator/>
      </w:r>
    </w:p>
  </w:footnote>
  <w:footnote w:type="continuationSeparator" w:id="0">
    <w:p w14:paraId="75B0B20D" w14:textId="77777777" w:rsidR="00AC2EB1" w:rsidRDefault="00AC2EB1" w:rsidP="00942AA3">
      <w:pPr>
        <w:spacing w:after="0" w:line="240" w:lineRule="auto"/>
      </w:pPr>
      <w:r>
        <w:continuationSeparator/>
      </w:r>
    </w:p>
  </w:footnote>
  <w:footnote w:type="continuationNotice" w:id="1">
    <w:p w14:paraId="4E881AAD" w14:textId="77777777" w:rsidR="00AC2EB1" w:rsidRDefault="00AC2EB1">
      <w:pPr>
        <w:spacing w:after="0" w:line="240" w:lineRule="auto"/>
      </w:pPr>
    </w:p>
  </w:footnote>
  <w:footnote w:id="2">
    <w:p w14:paraId="46F10550" w14:textId="4D042550"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w:t>
      </w:r>
      <w:r w:rsidRPr="00E311D5">
        <w:rPr>
          <w:rFonts w:ascii="Open Sans" w:hAnsi="Open Sans" w:cs="Open Sans"/>
          <w:sz w:val="22"/>
          <w:szCs w:val="22"/>
          <w:lang w:val="en-US"/>
        </w:rPr>
        <w:t>T</w:t>
      </w:r>
      <w:r w:rsidRPr="00E311D5">
        <w:rPr>
          <w:rFonts w:ascii="Open Sans" w:hAnsi="Open Sans" w:cs="Open Sans"/>
          <w:sz w:val="22"/>
          <w:szCs w:val="22"/>
        </w:rPr>
        <w:t>he ‘National Domestic Violence Helpline’ is now called the ‘National Domestic Abuse Helpline’.</w:t>
      </w:r>
    </w:p>
    <w:p w14:paraId="331842F5" w14:textId="77777777" w:rsidR="00A544B3" w:rsidRPr="00E311D5" w:rsidRDefault="00A544B3" w:rsidP="0085560C">
      <w:pPr>
        <w:pStyle w:val="FootnoteText"/>
        <w:spacing w:line="276" w:lineRule="auto"/>
        <w:rPr>
          <w:rFonts w:ascii="Open Sans" w:hAnsi="Open Sans" w:cs="Open Sans"/>
          <w:sz w:val="22"/>
          <w:szCs w:val="22"/>
          <w:lang w:val="en-US"/>
        </w:rPr>
      </w:pPr>
    </w:p>
  </w:footnote>
  <w:footnote w:id="3">
    <w:p w14:paraId="0BA1EF5E" w14:textId="1B25DEA8"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Routes to Support is the UK violence against women and girls directory of services and refuge vacancies, run in partnership by Scottish Women’s Aid, Welsh Women’s Aid, Women’s Aid Federation of England and Women’s Aid Federation of Northern Ireland.</w:t>
      </w:r>
    </w:p>
    <w:p w14:paraId="16DB96B2" w14:textId="77777777" w:rsidR="00A544B3" w:rsidRPr="00E311D5" w:rsidRDefault="00A544B3" w:rsidP="0085560C">
      <w:pPr>
        <w:pStyle w:val="FootnoteText"/>
        <w:spacing w:line="276" w:lineRule="auto"/>
        <w:rPr>
          <w:rFonts w:ascii="Open Sans" w:hAnsi="Open Sans" w:cs="Open Sans"/>
          <w:sz w:val="24"/>
          <w:szCs w:val="24"/>
          <w:lang w:val="en-US"/>
        </w:rPr>
      </w:pPr>
    </w:p>
  </w:footnote>
  <w:footnote w:id="4">
    <w:p w14:paraId="233AAC6F" w14:textId="72AD0048"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We have only included case studies where the survivor explicitly gave their consent for us to use their anonymised data for research purposes. All personally identifying information has been removed or changed from these stories.</w:t>
      </w:r>
    </w:p>
  </w:footnote>
  <w:footnote w:id="5">
    <w:p w14:paraId="5E68AAC9" w14:textId="5116C1D1"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There were 30 repeat referrals to the NWTA project during this period.</w:t>
      </w:r>
    </w:p>
    <w:p w14:paraId="711640E5" w14:textId="77777777" w:rsidR="00A544B3" w:rsidRPr="00E311D5" w:rsidRDefault="00A544B3" w:rsidP="0085560C">
      <w:pPr>
        <w:pStyle w:val="FootnoteText"/>
        <w:spacing w:line="276" w:lineRule="auto"/>
        <w:rPr>
          <w:rFonts w:ascii="Open Sans" w:hAnsi="Open Sans" w:cs="Open Sans"/>
          <w:sz w:val="22"/>
          <w:szCs w:val="22"/>
        </w:rPr>
      </w:pPr>
    </w:p>
  </w:footnote>
  <w:footnote w:id="6">
    <w:p w14:paraId="706CBF5A" w14:textId="1E53DE4E"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184 Survivors started and finished being supported in this period.</w:t>
      </w:r>
    </w:p>
    <w:p w14:paraId="128428E9" w14:textId="77777777" w:rsidR="00A544B3" w:rsidRPr="00E311D5" w:rsidRDefault="00A544B3" w:rsidP="0085560C">
      <w:pPr>
        <w:pStyle w:val="FootnoteText"/>
        <w:spacing w:line="276" w:lineRule="auto"/>
        <w:rPr>
          <w:rFonts w:ascii="Open Sans" w:hAnsi="Open Sans" w:cs="Open Sans"/>
          <w:sz w:val="22"/>
          <w:szCs w:val="22"/>
        </w:rPr>
      </w:pPr>
    </w:p>
  </w:footnote>
  <w:footnote w:id="7">
    <w:p w14:paraId="16F5D3D6" w14:textId="36B6D1EA" w:rsidR="00A544B3" w:rsidRDefault="00A544B3" w:rsidP="0085560C">
      <w:pPr>
        <w:pStyle w:val="FootnoteText"/>
        <w:spacing w:line="276" w:lineRule="auto"/>
        <w:rPr>
          <w:rStyle w:val="Hyperlink"/>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See our Nowhere to Turn report series: </w:t>
      </w:r>
      <w:hyperlink r:id="rId1" w:history="1">
        <w:r w:rsidRPr="00E311D5">
          <w:rPr>
            <w:rStyle w:val="Hyperlink"/>
            <w:rFonts w:ascii="Open Sans" w:hAnsi="Open Sans" w:cs="Open Sans"/>
            <w:sz w:val="22"/>
            <w:szCs w:val="22"/>
          </w:rPr>
          <w:t>https://www.womensaid.org.uk/no-woman-turned-away/</w:t>
        </w:r>
      </w:hyperlink>
    </w:p>
    <w:p w14:paraId="1E9FC678" w14:textId="77777777" w:rsidR="00A544B3" w:rsidRPr="00E311D5" w:rsidRDefault="00A544B3" w:rsidP="0085560C">
      <w:pPr>
        <w:pStyle w:val="FootnoteText"/>
        <w:spacing w:line="276" w:lineRule="auto"/>
        <w:rPr>
          <w:rFonts w:ascii="Open Sans" w:hAnsi="Open Sans" w:cs="Open Sans"/>
          <w:sz w:val="22"/>
          <w:szCs w:val="22"/>
        </w:rPr>
      </w:pPr>
    </w:p>
  </w:footnote>
  <w:footnote w:id="8">
    <w:p w14:paraId="6FCC8132"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Percentage of referrals into the project rejected due to being unable to contact the survivor:</w:t>
      </w:r>
    </w:p>
    <w:p w14:paraId="13854DCF" w14:textId="77777777" w:rsidR="00A544B3" w:rsidRPr="00E311D5" w:rsidRDefault="00A544B3" w:rsidP="0085560C">
      <w:pPr>
        <w:pStyle w:val="FootnoteText"/>
        <w:numPr>
          <w:ilvl w:val="0"/>
          <w:numId w:val="6"/>
        </w:numPr>
        <w:spacing w:line="276" w:lineRule="auto"/>
        <w:rPr>
          <w:rFonts w:ascii="Open Sans" w:hAnsi="Open Sans" w:cs="Open Sans"/>
          <w:sz w:val="22"/>
          <w:szCs w:val="22"/>
        </w:rPr>
      </w:pPr>
      <w:r w:rsidRPr="00E311D5">
        <w:rPr>
          <w:rFonts w:ascii="Open Sans" w:hAnsi="Open Sans" w:cs="Open Sans"/>
          <w:sz w:val="22"/>
          <w:szCs w:val="22"/>
        </w:rPr>
        <w:t xml:space="preserve">Nowhere to Turn 2021: 32.9% </w:t>
      </w:r>
    </w:p>
    <w:p w14:paraId="7C06AE60" w14:textId="77777777" w:rsidR="00A544B3" w:rsidRPr="00E311D5" w:rsidRDefault="00A544B3" w:rsidP="0085560C">
      <w:pPr>
        <w:pStyle w:val="FootnoteText"/>
        <w:numPr>
          <w:ilvl w:val="0"/>
          <w:numId w:val="6"/>
        </w:numPr>
        <w:spacing w:line="276" w:lineRule="auto"/>
        <w:rPr>
          <w:rFonts w:ascii="Open Sans" w:hAnsi="Open Sans" w:cs="Open Sans"/>
          <w:sz w:val="22"/>
          <w:szCs w:val="22"/>
        </w:rPr>
      </w:pPr>
      <w:r w:rsidRPr="00E311D5">
        <w:rPr>
          <w:rFonts w:ascii="Open Sans" w:hAnsi="Open Sans" w:cs="Open Sans"/>
          <w:sz w:val="22"/>
          <w:szCs w:val="22"/>
        </w:rPr>
        <w:t xml:space="preserve">Nowhere to Turn 2020: 33.5% </w:t>
      </w:r>
    </w:p>
    <w:p w14:paraId="275C9136" w14:textId="77777777" w:rsidR="00A544B3" w:rsidRPr="00E311D5" w:rsidRDefault="00A544B3" w:rsidP="0085560C">
      <w:pPr>
        <w:pStyle w:val="FootnoteText"/>
        <w:numPr>
          <w:ilvl w:val="0"/>
          <w:numId w:val="6"/>
        </w:numPr>
        <w:spacing w:line="276" w:lineRule="auto"/>
        <w:rPr>
          <w:rFonts w:ascii="Open Sans" w:hAnsi="Open Sans" w:cs="Open Sans"/>
          <w:sz w:val="22"/>
          <w:szCs w:val="22"/>
        </w:rPr>
      </w:pPr>
      <w:r w:rsidRPr="00E311D5">
        <w:rPr>
          <w:rFonts w:ascii="Open Sans" w:hAnsi="Open Sans" w:cs="Open Sans"/>
          <w:sz w:val="22"/>
          <w:szCs w:val="22"/>
        </w:rPr>
        <w:t>Nowhere to Turn 2019: 34.8%</w:t>
      </w:r>
    </w:p>
    <w:p w14:paraId="253B93AB" w14:textId="77777777" w:rsidR="00A544B3" w:rsidRPr="00E311D5" w:rsidRDefault="00A544B3" w:rsidP="0085560C">
      <w:pPr>
        <w:pStyle w:val="FootnoteText"/>
        <w:spacing w:line="276" w:lineRule="auto"/>
        <w:rPr>
          <w:rFonts w:ascii="Open Sans" w:hAnsi="Open Sans" w:cs="Open Sans"/>
          <w:sz w:val="22"/>
          <w:szCs w:val="22"/>
        </w:rPr>
      </w:pPr>
    </w:p>
  </w:footnote>
  <w:footnote w:id="9">
    <w:p w14:paraId="799CD2CC"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Nowhere to Turn 2021 we report that 166 women received support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2019 and 11</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2020.</w:t>
      </w:r>
    </w:p>
  </w:footnote>
  <w:footnote w:id="10">
    <w:p w14:paraId="5FA49EC3"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We did not know the sex/ gender of all perpetrators.</w:t>
      </w:r>
    </w:p>
  </w:footnote>
  <w:footnote w:id="11">
    <w:p w14:paraId="496B79F4"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179 out of 184 survivors had experienced abuse within the last year.</w:t>
      </w:r>
    </w:p>
  </w:footnote>
  <w:footnote w:id="12">
    <w:p w14:paraId="3B325AAF"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13">
    <w:p w14:paraId="6EF4CA2D" w14:textId="77777777"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As we do not generally record the exact number in cases where this happened over 30 times, this means that we have not been able to calculate the average number of times that the NWTA practitioners found no places available per survivor.</w:t>
      </w:r>
    </w:p>
    <w:p w14:paraId="1C89672C" w14:textId="3B16A640" w:rsidR="00A544B3" w:rsidRPr="00E311D5" w:rsidRDefault="00A544B3" w:rsidP="0085560C">
      <w:pPr>
        <w:pStyle w:val="FootnoteText"/>
        <w:spacing w:line="276" w:lineRule="auto"/>
        <w:rPr>
          <w:rFonts w:ascii="Open Sans" w:hAnsi="Open Sans" w:cs="Open Sans"/>
          <w:sz w:val="22"/>
          <w:szCs w:val="22"/>
        </w:rPr>
      </w:pPr>
      <w:r w:rsidRPr="00E311D5">
        <w:rPr>
          <w:rFonts w:ascii="Open Sans" w:hAnsi="Open Sans" w:cs="Open Sans"/>
          <w:sz w:val="22"/>
          <w:szCs w:val="22"/>
        </w:rPr>
        <w:t xml:space="preserve"> </w:t>
      </w:r>
    </w:p>
  </w:footnote>
  <w:footnote w:id="14">
    <w:p w14:paraId="1309DA73"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This is based on 171 of the 184 survivors.</w:t>
      </w:r>
    </w:p>
  </w:footnote>
  <w:footnote w:id="15">
    <w:p w14:paraId="7C0E2406" w14:textId="1E276DA4"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Pr>
          <w:rFonts w:ascii="Open Sans" w:hAnsi="Open Sans" w:cs="Open Sans"/>
          <w:sz w:val="22"/>
          <w:szCs w:val="22"/>
        </w:rPr>
        <w:t xml:space="preserve"> Pseudonym</w:t>
      </w:r>
    </w:p>
    <w:p w14:paraId="69A5E0F3" w14:textId="77777777" w:rsidR="00A544B3" w:rsidRPr="00E311D5" w:rsidRDefault="00A544B3" w:rsidP="0085560C">
      <w:pPr>
        <w:pStyle w:val="FootnoteText"/>
        <w:spacing w:line="276" w:lineRule="auto"/>
        <w:rPr>
          <w:rFonts w:ascii="Open Sans" w:hAnsi="Open Sans" w:cs="Open Sans"/>
          <w:sz w:val="22"/>
          <w:szCs w:val="22"/>
        </w:rPr>
      </w:pPr>
    </w:p>
  </w:footnote>
  <w:footnote w:id="16">
    <w:p w14:paraId="7015BECF" w14:textId="036E49C0" w:rsidR="00A544B3" w:rsidRDefault="00A544B3">
      <w:pPr>
        <w:pStyle w:val="FootnoteText"/>
        <w:rPr>
          <w:rFonts w:ascii="Open Sans" w:hAnsi="Open Sans" w:cs="Open Sans"/>
          <w:sz w:val="22"/>
          <w:szCs w:val="22"/>
        </w:rPr>
      </w:pPr>
      <w:r>
        <w:rPr>
          <w:rStyle w:val="FootnoteReference"/>
        </w:rPr>
        <w:footnoteRef/>
      </w:r>
      <w:r>
        <w:t xml:space="preserve"> </w:t>
      </w:r>
      <w:r w:rsidRPr="00E311D5">
        <w:rPr>
          <w:rFonts w:ascii="Open Sans" w:hAnsi="Open Sans" w:cs="Open Sans"/>
          <w:sz w:val="22"/>
          <w:szCs w:val="22"/>
        </w:rPr>
        <w:t>An additional two survivors were referred on the basis of NRPF but turned out to be eligible to apply for benefits.</w:t>
      </w:r>
    </w:p>
    <w:p w14:paraId="3910044C" w14:textId="77777777" w:rsidR="00A544B3" w:rsidRDefault="00A544B3">
      <w:pPr>
        <w:pStyle w:val="FootnoteText"/>
      </w:pPr>
    </w:p>
  </w:footnote>
  <w:footnote w:id="17">
    <w:p w14:paraId="52FA27B1" w14:textId="7CFACD5E" w:rsidR="00A544B3" w:rsidRDefault="00A544B3" w:rsidP="00B13D12">
      <w:pPr>
        <w:pStyle w:val="FootnoteText"/>
        <w:spacing w:line="276" w:lineRule="auto"/>
        <w:rPr>
          <w:rFonts w:ascii="Open Sans" w:hAnsi="Open Sans" w:cs="Open Sans"/>
          <w:sz w:val="22"/>
          <w:szCs w:val="22"/>
          <w:lang w:val="en-US"/>
        </w:rPr>
      </w:pPr>
      <w:r>
        <w:rPr>
          <w:rStyle w:val="FootnoteReference"/>
        </w:rPr>
        <w:footnoteRef/>
      </w:r>
      <w:r>
        <w:t xml:space="preserve"> </w:t>
      </w:r>
      <w:r w:rsidRPr="00E311D5">
        <w:rPr>
          <w:rFonts w:ascii="Open Sans" w:hAnsi="Open Sans" w:cs="Open Sans"/>
          <w:sz w:val="22"/>
          <w:szCs w:val="22"/>
          <w:lang w:val="en-US"/>
        </w:rPr>
        <w:t>22 of these women had a mental health disability, 15 had a physical disability (excluding vision and hearing disability), ten had a long-term health condition, three had a learning disability, three had a hearing disability, and one had a vision disability (some women had more than one disability).</w:t>
      </w:r>
    </w:p>
    <w:p w14:paraId="3CA5932C" w14:textId="77777777" w:rsidR="00A544B3" w:rsidRPr="00B13D12" w:rsidRDefault="00A544B3" w:rsidP="00B13D12">
      <w:pPr>
        <w:pStyle w:val="FootnoteText"/>
        <w:spacing w:line="276" w:lineRule="auto"/>
        <w:rPr>
          <w:rFonts w:ascii="Open Sans" w:hAnsi="Open Sans" w:cs="Open Sans"/>
          <w:sz w:val="22"/>
          <w:szCs w:val="22"/>
        </w:rPr>
      </w:pPr>
    </w:p>
  </w:footnote>
  <w:footnote w:id="18">
    <w:p w14:paraId="4EC55C46" w14:textId="20FA7521" w:rsidR="00A544B3" w:rsidRDefault="00A544B3">
      <w:pPr>
        <w:pStyle w:val="FootnoteText"/>
      </w:pPr>
      <w:r>
        <w:rPr>
          <w:rStyle w:val="FootnoteReference"/>
        </w:rPr>
        <w:footnoteRef/>
      </w:r>
      <w:r>
        <w:t xml:space="preserve"> </w:t>
      </w:r>
      <w:r w:rsidRPr="00E311D5">
        <w:rPr>
          <w:rFonts w:ascii="Open Sans" w:hAnsi="Open Sans" w:cs="Open Sans"/>
          <w:sz w:val="22"/>
          <w:szCs w:val="22"/>
        </w:rPr>
        <w:t>Women who required an interpreter.</w:t>
      </w:r>
    </w:p>
  </w:footnote>
  <w:footnote w:id="19">
    <w:p w14:paraId="2C1E75EC"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For example, some services may have requirements for certain drugs users to be on a methadone script. </w:t>
      </w:r>
    </w:p>
  </w:footnote>
  <w:footnote w:id="20">
    <w:p w14:paraId="279EB4AE" w14:textId="5BE7FCEF"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This is based on 169 of the 184 survivors where ethnicity had been recorded. 59 out of 169 survivors were recorded as being from a Black and minoritised background.</w:t>
      </w:r>
    </w:p>
    <w:p w14:paraId="6DDF498B" w14:textId="77777777" w:rsidR="00A544B3" w:rsidRPr="00E311D5" w:rsidRDefault="00A544B3" w:rsidP="0085560C">
      <w:pPr>
        <w:pStyle w:val="FootnoteText"/>
        <w:spacing w:line="276" w:lineRule="auto"/>
        <w:rPr>
          <w:rFonts w:ascii="Open Sans" w:hAnsi="Open Sans" w:cs="Open Sans"/>
          <w:sz w:val="22"/>
          <w:szCs w:val="22"/>
        </w:rPr>
      </w:pPr>
    </w:p>
  </w:footnote>
  <w:footnote w:id="21">
    <w:p w14:paraId="7787E5A5" w14:textId="16F0AC09"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See Appendix 1 for a full list of survivors’ ethnic backgrounds.</w:t>
      </w:r>
    </w:p>
    <w:p w14:paraId="2A04818E" w14:textId="77777777" w:rsidR="00A544B3" w:rsidRPr="00E311D5" w:rsidRDefault="00A544B3" w:rsidP="0085560C">
      <w:pPr>
        <w:pStyle w:val="FootnoteText"/>
        <w:spacing w:line="276" w:lineRule="auto"/>
        <w:rPr>
          <w:rFonts w:ascii="Open Sans" w:hAnsi="Open Sans" w:cs="Open Sans"/>
          <w:sz w:val="22"/>
          <w:szCs w:val="22"/>
        </w:rPr>
      </w:pPr>
    </w:p>
  </w:footnote>
  <w:footnote w:id="22">
    <w:p w14:paraId="4E177CFA" w14:textId="553E2FB1"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For example, refuges set up to accommodate for women to practice their faith or cook and access specific food i.e. halal meat.</w:t>
      </w:r>
    </w:p>
    <w:p w14:paraId="4DB871B7" w14:textId="77777777" w:rsidR="00A544B3" w:rsidRPr="00E311D5" w:rsidRDefault="00A544B3" w:rsidP="0085560C">
      <w:pPr>
        <w:pStyle w:val="FootnoteText"/>
        <w:spacing w:line="276" w:lineRule="auto"/>
        <w:rPr>
          <w:rFonts w:ascii="Open Sans" w:hAnsi="Open Sans" w:cs="Open Sans"/>
          <w:sz w:val="22"/>
          <w:szCs w:val="22"/>
        </w:rPr>
      </w:pPr>
    </w:p>
  </w:footnote>
  <w:footnote w:id="23">
    <w:p w14:paraId="762263ED" w14:textId="1EF809DC"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this year’s Annual Audit we reported that only 17 out of 37 dedicated services for Black and minoritised survivors are outside of London (Women’s Aid, 2022b).</w:t>
      </w:r>
    </w:p>
    <w:p w14:paraId="2C9F0A19" w14:textId="77777777" w:rsidR="00A544B3" w:rsidRPr="00E311D5" w:rsidRDefault="00A544B3" w:rsidP="0085560C">
      <w:pPr>
        <w:pStyle w:val="FootnoteText"/>
        <w:spacing w:line="276" w:lineRule="auto"/>
        <w:rPr>
          <w:rFonts w:ascii="Open Sans" w:hAnsi="Open Sans" w:cs="Open Sans"/>
          <w:sz w:val="22"/>
          <w:szCs w:val="22"/>
        </w:rPr>
      </w:pPr>
    </w:p>
  </w:footnote>
  <w:footnote w:id="24">
    <w:p w14:paraId="20606486"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25">
    <w:p w14:paraId="2CFD3209"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26">
    <w:p w14:paraId="1D188CF7" w14:textId="75E86419"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It is illegal to give immigration advice when you are not appropriately qualified, for example, a solicitor, barrister, or immigration advisor.</w:t>
      </w:r>
    </w:p>
  </w:footnote>
  <w:footnote w:id="27">
    <w:p w14:paraId="08755672" w14:textId="7C3D0F98"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No Woman Turned Away 2021 we reported that 26.5% of women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2020 and 31st December 2020 sofa surfed whilst waiting for a refuge; In No Woman Turned Away 2020 we reported that 38.3% of women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2019 and 11</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2020 sofa surfed whilst waiting for a refuge; in Nowhere to Turn 2019 we reported that 44% of women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2018 and 11</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2019 sofa surfed whilst waiting for a refuge.</w:t>
      </w:r>
    </w:p>
    <w:p w14:paraId="4D8C21EB" w14:textId="77777777" w:rsidR="00A544B3" w:rsidRPr="00E311D5" w:rsidRDefault="00A544B3" w:rsidP="0085560C">
      <w:pPr>
        <w:pStyle w:val="FootnoteText"/>
        <w:spacing w:line="276" w:lineRule="auto"/>
        <w:rPr>
          <w:rFonts w:ascii="Open Sans" w:hAnsi="Open Sans" w:cs="Open Sans"/>
          <w:sz w:val="22"/>
          <w:szCs w:val="22"/>
        </w:rPr>
      </w:pPr>
    </w:p>
  </w:footnote>
  <w:footnote w:id="28">
    <w:p w14:paraId="1881F85B"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No Woman Turned Away 2021 we reported that 32.5% of women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2020 and 31st December 2020 stayed in emergency accommodation whilst waiting for a refuge;  In No Woman Turned Away 2020 we reported that 15.6% of women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2019 and 11</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2020 stayed in emergency accommodation whilst waiting for a refuge; in Nowhere to Turn 2019 we reported that 13.6% of women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2018 and 11</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2019 stayed in emergency accommodation whilst waiting for a refuge.</w:t>
      </w:r>
    </w:p>
  </w:footnote>
  <w:footnote w:id="29">
    <w:p w14:paraId="4D218397"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30">
    <w:p w14:paraId="3D28B6A2" w14:textId="29EF9CF8" w:rsidR="00A544B3" w:rsidRDefault="00A544B3">
      <w:pPr>
        <w:pStyle w:val="FootnoteText"/>
      </w:pPr>
      <w:r>
        <w:rPr>
          <w:rStyle w:val="FootnoteReference"/>
        </w:rPr>
        <w:footnoteRef/>
      </w:r>
      <w:r>
        <w:t xml:space="preserve"> </w:t>
      </w:r>
      <w:r w:rsidRPr="00E311D5">
        <w:rPr>
          <w:rFonts w:ascii="Open Sans" w:hAnsi="Open Sans" w:cs="Open Sans"/>
          <w:sz w:val="22"/>
          <w:szCs w:val="22"/>
        </w:rPr>
        <w:t>Women who were sectioned under the Mental Health Act (2007).</w:t>
      </w:r>
    </w:p>
  </w:footnote>
  <w:footnote w:id="31">
    <w:p w14:paraId="650ABD02" w14:textId="07C3B7F6" w:rsidR="00A544B3" w:rsidRPr="005D459D" w:rsidRDefault="00A544B3" w:rsidP="005D459D">
      <w:pPr>
        <w:pStyle w:val="FootnoteText"/>
        <w:spacing w:line="276" w:lineRule="auto"/>
        <w:rPr>
          <w:rFonts w:ascii="Open Sans" w:hAnsi="Open Sans" w:cs="Open Sans"/>
          <w:sz w:val="22"/>
          <w:szCs w:val="22"/>
        </w:rPr>
      </w:pPr>
      <w:r>
        <w:rPr>
          <w:rStyle w:val="FootnoteReference"/>
        </w:rPr>
        <w:footnoteRef/>
      </w:r>
      <w:r>
        <w:t xml:space="preserve"> </w:t>
      </w:r>
      <w:r w:rsidRPr="00E311D5">
        <w:rPr>
          <w:rFonts w:ascii="Open Sans" w:hAnsi="Open Sans" w:cs="Open Sans"/>
          <w:sz w:val="22"/>
          <w:szCs w:val="22"/>
        </w:rPr>
        <w:t>Some survivors experienced failures by m</w:t>
      </w:r>
      <w:r>
        <w:rPr>
          <w:rFonts w:ascii="Open Sans" w:hAnsi="Open Sans" w:cs="Open Sans"/>
          <w:sz w:val="22"/>
          <w:szCs w:val="22"/>
        </w:rPr>
        <w:t>ore than one of these services.</w:t>
      </w:r>
    </w:p>
  </w:footnote>
  <w:footnote w:id="32">
    <w:p w14:paraId="1BDE7541"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33">
    <w:p w14:paraId="4045123C"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34">
    <w:p w14:paraId="34D9568C"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w:t>
      </w:r>
    </w:p>
  </w:footnote>
  <w:footnote w:id="35">
    <w:p w14:paraId="10DA0F08" w14:textId="45666F7E"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4 hours and 57 minutes</w:t>
      </w:r>
    </w:p>
    <w:p w14:paraId="05D00E04" w14:textId="77777777" w:rsidR="00A544B3" w:rsidRPr="00E311D5" w:rsidRDefault="00A544B3" w:rsidP="0085560C">
      <w:pPr>
        <w:pStyle w:val="FootnoteText"/>
        <w:spacing w:line="276" w:lineRule="auto"/>
        <w:rPr>
          <w:rFonts w:ascii="Open Sans" w:hAnsi="Open Sans" w:cs="Open Sans"/>
          <w:sz w:val="22"/>
          <w:szCs w:val="22"/>
        </w:rPr>
      </w:pPr>
    </w:p>
  </w:footnote>
  <w:footnote w:id="36">
    <w:p w14:paraId="187F550A"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As reported in </w:t>
      </w:r>
      <w:r w:rsidRPr="00E311D5">
        <w:rPr>
          <w:rFonts w:ascii="Open Sans" w:hAnsi="Open Sans" w:cs="Open Sans"/>
          <w:i/>
          <w:sz w:val="22"/>
          <w:szCs w:val="22"/>
        </w:rPr>
        <w:t>Nowhere to Turn, 2019</w:t>
      </w:r>
      <w:r w:rsidRPr="00E311D5">
        <w:rPr>
          <w:rFonts w:ascii="Open Sans" w:hAnsi="Open Sans" w:cs="Open Sans"/>
          <w:sz w:val="22"/>
          <w:szCs w:val="22"/>
        </w:rPr>
        <w:t xml:space="preserve"> (Women’s Aid 2019) and </w:t>
      </w:r>
      <w:r w:rsidRPr="00E311D5">
        <w:rPr>
          <w:rFonts w:ascii="Open Sans" w:hAnsi="Open Sans" w:cs="Open Sans"/>
          <w:i/>
          <w:sz w:val="22"/>
          <w:szCs w:val="22"/>
        </w:rPr>
        <w:t>Nowhere to Turn, 2020</w:t>
      </w:r>
      <w:r w:rsidRPr="00E311D5">
        <w:rPr>
          <w:rFonts w:ascii="Open Sans" w:hAnsi="Open Sans" w:cs="Open Sans"/>
          <w:sz w:val="22"/>
          <w:szCs w:val="22"/>
        </w:rPr>
        <w:t xml:space="preserve"> (Women’s Aid 2020), in the previous two years survivors received an average of four hours and ten minutes, and 6 hours twelve minutes support, of support respectively.</w:t>
      </w:r>
    </w:p>
  </w:footnote>
  <w:footnote w:id="37">
    <w:p w14:paraId="67EE1DC6"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Nowhere to Turn 2021 we reported that the survivors supported between 12</w:t>
      </w:r>
      <w:r w:rsidRPr="00E311D5">
        <w:rPr>
          <w:rFonts w:ascii="Open Sans" w:hAnsi="Open Sans" w:cs="Open Sans"/>
          <w:sz w:val="22"/>
          <w:szCs w:val="22"/>
          <w:vertAlign w:val="superscript"/>
        </w:rPr>
        <w:t>th</w:t>
      </w:r>
      <w:r w:rsidRPr="00E311D5">
        <w:rPr>
          <w:rFonts w:ascii="Open Sans" w:hAnsi="Open Sans" w:cs="Open Sans"/>
          <w:sz w:val="22"/>
          <w:szCs w:val="22"/>
        </w:rPr>
        <w:t xml:space="preserve"> January 2020 and 31</w:t>
      </w:r>
      <w:r w:rsidRPr="00E311D5">
        <w:rPr>
          <w:rFonts w:ascii="Open Sans" w:hAnsi="Open Sans" w:cs="Open Sans"/>
          <w:sz w:val="22"/>
          <w:szCs w:val="22"/>
          <w:vertAlign w:val="superscript"/>
        </w:rPr>
        <w:t>st</w:t>
      </w:r>
      <w:r w:rsidRPr="00E311D5">
        <w:rPr>
          <w:rFonts w:ascii="Open Sans" w:hAnsi="Open Sans" w:cs="Open Sans"/>
          <w:sz w:val="22"/>
          <w:szCs w:val="22"/>
        </w:rPr>
        <w:t xml:space="preserve"> December 2021 were on average supported for just over three weeks (23.4 days).</w:t>
      </w:r>
    </w:p>
  </w:footnote>
  <w:footnote w:id="38">
    <w:p w14:paraId="34F91729" w14:textId="4A626F0C"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w:t>
      </w:r>
      <w:r w:rsidRPr="00E311D5">
        <w:rPr>
          <w:rFonts w:ascii="Open Sans" w:hAnsi="Open Sans" w:cs="Open Sans"/>
          <w:i/>
          <w:sz w:val="22"/>
          <w:szCs w:val="22"/>
        </w:rPr>
        <w:t>Nowhere to Turn 2021</w:t>
      </w:r>
      <w:r w:rsidRPr="00E311D5">
        <w:rPr>
          <w:rFonts w:ascii="Open Sans" w:hAnsi="Open Sans" w:cs="Open Sans"/>
          <w:sz w:val="22"/>
          <w:szCs w:val="22"/>
        </w:rPr>
        <w:t xml:space="preserve"> we reported that the largest part (29.1%) of specialist practitioners’ time was spent liaising with professionals.</w:t>
      </w:r>
    </w:p>
    <w:p w14:paraId="3D4AF634" w14:textId="77777777" w:rsidR="00A544B3" w:rsidRPr="00E311D5" w:rsidRDefault="00A544B3" w:rsidP="0085560C">
      <w:pPr>
        <w:pStyle w:val="FootnoteText"/>
        <w:spacing w:line="276" w:lineRule="auto"/>
        <w:rPr>
          <w:rFonts w:ascii="Open Sans" w:hAnsi="Open Sans" w:cs="Open Sans"/>
          <w:sz w:val="22"/>
          <w:szCs w:val="22"/>
        </w:rPr>
      </w:pPr>
    </w:p>
  </w:footnote>
  <w:footnote w:id="39">
    <w:p w14:paraId="52FA5EC1"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40">
    <w:p w14:paraId="5D0B22C8" w14:textId="79E847D7" w:rsidR="00A544B3" w:rsidRDefault="00A544B3">
      <w:pPr>
        <w:pStyle w:val="FootnoteText"/>
      </w:pPr>
      <w:r>
        <w:rPr>
          <w:rStyle w:val="FootnoteReference"/>
        </w:rPr>
        <w:footnoteRef/>
      </w:r>
      <w:r>
        <w:t xml:space="preserve"> </w:t>
      </w:r>
    </w:p>
  </w:footnote>
  <w:footnote w:id="41">
    <w:p w14:paraId="4C568428"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42">
    <w:p w14:paraId="2E18D9DC" w14:textId="0491D6C6"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Pr>
          <w:rFonts w:ascii="Open Sans" w:hAnsi="Open Sans" w:cs="Open Sans"/>
          <w:sz w:val="22"/>
          <w:szCs w:val="22"/>
        </w:rPr>
        <w:t xml:space="preserve"> </w:t>
      </w:r>
      <w:r w:rsidRPr="00E311D5">
        <w:rPr>
          <w:rFonts w:ascii="Open Sans" w:hAnsi="Open Sans" w:cs="Open Sans"/>
          <w:sz w:val="22"/>
          <w:szCs w:val="22"/>
        </w:rPr>
        <w:t>Women referred on the basis of NRPF cases lasted 31.1 days on average, ranging from 1 to 144 days (based on 67 cases – with four of the women being supported twice).</w:t>
      </w:r>
    </w:p>
    <w:p w14:paraId="0A6A92E9" w14:textId="77777777" w:rsidR="00A544B3" w:rsidRPr="00E311D5" w:rsidRDefault="00A544B3" w:rsidP="0085560C">
      <w:pPr>
        <w:pStyle w:val="FootnoteText"/>
        <w:spacing w:line="276" w:lineRule="auto"/>
        <w:rPr>
          <w:rFonts w:ascii="Open Sans" w:hAnsi="Open Sans" w:cs="Open Sans"/>
          <w:sz w:val="22"/>
          <w:szCs w:val="22"/>
        </w:rPr>
      </w:pPr>
      <w:r w:rsidRPr="00E311D5">
        <w:rPr>
          <w:rFonts w:ascii="Open Sans" w:hAnsi="Open Sans" w:cs="Open Sans"/>
          <w:sz w:val="22"/>
          <w:szCs w:val="22"/>
        </w:rPr>
        <w:t>Women who were known to have recourse from the point of referral cases last 25.6 days on average, ranging from 1 to 135 days (based on 127 cases – with four women being supported twice and one woman being supported three times).</w:t>
      </w:r>
    </w:p>
  </w:footnote>
  <w:footnote w:id="43">
    <w:p w14:paraId="35929AC9"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Pseudonym </w:t>
      </w:r>
    </w:p>
  </w:footnote>
  <w:footnote w:id="44">
    <w:p w14:paraId="5448D5F4"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Refuges not to set up to specifically support survivors around substance misuse.</w:t>
      </w:r>
    </w:p>
  </w:footnote>
  <w:footnote w:id="45">
    <w:p w14:paraId="0944CFAE" w14:textId="6B240706"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Pr>
          <w:rFonts w:ascii="Open Sans" w:hAnsi="Open Sans" w:cs="Open Sans"/>
          <w:sz w:val="22"/>
          <w:szCs w:val="22"/>
        </w:rPr>
        <w:t xml:space="preserve"> Pseudonym</w:t>
      </w:r>
    </w:p>
    <w:p w14:paraId="602E5D4D" w14:textId="77777777" w:rsidR="00A544B3" w:rsidRPr="00E311D5" w:rsidRDefault="00A544B3" w:rsidP="0085560C">
      <w:pPr>
        <w:pStyle w:val="FootnoteText"/>
        <w:spacing w:line="276" w:lineRule="auto"/>
        <w:rPr>
          <w:rFonts w:ascii="Open Sans" w:hAnsi="Open Sans" w:cs="Open Sans"/>
          <w:sz w:val="22"/>
          <w:szCs w:val="22"/>
        </w:rPr>
      </w:pPr>
    </w:p>
  </w:footnote>
  <w:footnote w:id="46">
    <w:p w14:paraId="2FDFF81D" w14:textId="6D7F75F3"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In the interest of protecting women spaces in refuges, some services are unable to accommodate male children above a certain age, generally this is about 14 years old. You can read about the importance of women only spaces here: </w:t>
      </w:r>
      <w:hyperlink r:id="rId2" w:history="1">
        <w:r w:rsidRPr="00E311D5">
          <w:rPr>
            <w:rStyle w:val="Hyperlink"/>
            <w:rFonts w:ascii="Open Sans" w:hAnsi="Open Sans" w:cs="Open Sans"/>
            <w:sz w:val="22"/>
            <w:szCs w:val="22"/>
          </w:rPr>
          <w:t>https://www.equalityhumanrights.com/sites/default/files/research-report-86-the-impact-of-changes-in-commissioning-and-funding-on-women-only-services.pdf</w:t>
        </w:r>
      </w:hyperlink>
    </w:p>
  </w:footnote>
  <w:footnote w:id="47">
    <w:p w14:paraId="031F1E26" w14:textId="77777777" w:rsidR="00A544B3" w:rsidRPr="00E311D5" w:rsidRDefault="00A544B3" w:rsidP="003614AA">
      <w:pPr>
        <w:pStyle w:val="FootnoteText"/>
        <w:spacing w:line="276" w:lineRule="auto"/>
        <w:rPr>
          <w:rFonts w:ascii="Open Sans" w:hAnsi="Open Sans" w:cs="Open Sans"/>
          <w:sz w:val="22"/>
          <w:szCs w:val="22"/>
          <w:lang w:val="en-US"/>
        </w:rPr>
      </w:pPr>
      <w:r>
        <w:rPr>
          <w:rStyle w:val="FootnoteReference"/>
        </w:rPr>
        <w:footnoteRef/>
      </w:r>
      <w:r>
        <w:t xml:space="preserve"> </w:t>
      </w:r>
      <w:r w:rsidRPr="00E311D5">
        <w:rPr>
          <w:rFonts w:ascii="Open Sans" w:hAnsi="Open Sans" w:cs="Open Sans"/>
          <w:sz w:val="22"/>
          <w:szCs w:val="22"/>
          <w:lang w:val="en-US"/>
        </w:rPr>
        <w:t>Women who required an interpreter.</w:t>
      </w:r>
    </w:p>
    <w:p w14:paraId="3EC2359A" w14:textId="7F8120FF" w:rsidR="00A544B3" w:rsidRPr="003614AA" w:rsidRDefault="00A544B3">
      <w:pPr>
        <w:pStyle w:val="FootnoteText"/>
        <w:rPr>
          <w:lang w:val="en-US"/>
        </w:rPr>
      </w:pPr>
    </w:p>
  </w:footnote>
  <w:footnote w:id="48">
    <w:p w14:paraId="76BEB56A" w14:textId="012F889C" w:rsidR="00A544B3" w:rsidRDefault="00A544B3">
      <w:pPr>
        <w:pStyle w:val="FootnoteText"/>
      </w:pPr>
      <w:r>
        <w:rPr>
          <w:rStyle w:val="FootnoteReference"/>
        </w:rPr>
        <w:footnoteRef/>
      </w:r>
      <w:r>
        <w:t xml:space="preserve"> </w:t>
      </w:r>
      <w:r w:rsidRPr="00E311D5">
        <w:rPr>
          <w:rFonts w:ascii="Open Sans" w:hAnsi="Open Sans" w:cs="Open Sans"/>
          <w:color w:val="262626" w:themeColor="text1"/>
          <w:sz w:val="22"/>
          <w:szCs w:val="24"/>
        </w:rPr>
        <w:t>Proportion of women with specific disabilities who were accommodated in a suitable refuge: Physical disability: 0% of the 15 women; mental health disability: 13.6% (3 out of 22 women); Long-term health condition: 10% (1 out of 10 women); learning disability: 0% of the three women; vision disability: 0% of the one women; hearing disability: 0% of the three women.</w:t>
      </w:r>
    </w:p>
  </w:footnote>
  <w:footnote w:id="49">
    <w:p w14:paraId="076C07C9" w14:textId="22B6FA10" w:rsidR="00A544B3"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103 out of 124 survivors where the client’s perception of safety had been recorded.</w:t>
      </w:r>
    </w:p>
    <w:p w14:paraId="60A3F301" w14:textId="77777777" w:rsidR="00A544B3" w:rsidRPr="00E311D5" w:rsidRDefault="00A544B3" w:rsidP="0085560C">
      <w:pPr>
        <w:pStyle w:val="FootnoteText"/>
        <w:spacing w:line="276" w:lineRule="auto"/>
        <w:rPr>
          <w:rFonts w:ascii="Open Sans" w:hAnsi="Open Sans" w:cs="Open Sans"/>
          <w:sz w:val="22"/>
          <w:szCs w:val="22"/>
        </w:rPr>
      </w:pPr>
    </w:p>
  </w:footnote>
  <w:footnote w:id="50">
    <w:p w14:paraId="56734CB6" w14:textId="77777777"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This is based on the final outcome for survivors supported more than once by the NWTA project between 1</w:t>
      </w:r>
      <w:r w:rsidRPr="00E311D5">
        <w:rPr>
          <w:rFonts w:ascii="Open Sans" w:hAnsi="Open Sans" w:cs="Open Sans"/>
          <w:sz w:val="22"/>
          <w:szCs w:val="22"/>
          <w:vertAlign w:val="superscript"/>
        </w:rPr>
        <w:t>st</w:t>
      </w:r>
      <w:r w:rsidRPr="00E311D5">
        <w:rPr>
          <w:rFonts w:ascii="Open Sans" w:hAnsi="Open Sans" w:cs="Open Sans"/>
          <w:sz w:val="22"/>
          <w:szCs w:val="22"/>
        </w:rPr>
        <w:t xml:space="preserve"> January 2021 and December 2021.</w:t>
      </w:r>
    </w:p>
  </w:footnote>
  <w:footnote w:id="51">
    <w:p w14:paraId="48643CA9" w14:textId="7822B6A6" w:rsidR="00A544B3" w:rsidRPr="00E311D5" w:rsidRDefault="00A544B3" w:rsidP="0085560C">
      <w:pPr>
        <w:pStyle w:val="FootnoteText"/>
        <w:spacing w:line="276" w:lineRule="auto"/>
        <w:rPr>
          <w:rFonts w:ascii="Open Sans" w:hAnsi="Open Sans" w:cs="Open Sans"/>
          <w:sz w:val="22"/>
          <w:szCs w:val="22"/>
        </w:rPr>
      </w:pPr>
      <w:r w:rsidRPr="00E311D5">
        <w:rPr>
          <w:rStyle w:val="FootnoteReference"/>
          <w:rFonts w:ascii="Open Sans" w:hAnsi="Open Sans" w:cs="Open Sans"/>
          <w:sz w:val="22"/>
          <w:szCs w:val="22"/>
        </w:rPr>
        <w:footnoteRef/>
      </w:r>
      <w:r w:rsidRPr="00E311D5">
        <w:rPr>
          <w:rFonts w:ascii="Open Sans" w:hAnsi="Open Sans" w:cs="Open Sans"/>
          <w:sz w:val="22"/>
          <w:szCs w:val="22"/>
        </w:rPr>
        <w:t xml:space="preserve"> </w:t>
      </w:r>
      <w:r w:rsidRPr="00E311D5">
        <w:rPr>
          <w:rFonts w:ascii="Open Sans" w:hAnsi="Open Sans" w:cs="Open Sans"/>
          <w:sz w:val="22"/>
          <w:szCs w:val="22"/>
          <w:lang w:val="en-US"/>
        </w:rPr>
        <w:t>These 60 cases have been removed from the overall calculations.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766F" w14:textId="77777777" w:rsidR="00A544B3" w:rsidRDefault="00A544B3" w:rsidP="00942AA3">
    <w:pPr>
      <w:pStyle w:val="Header"/>
      <w:jc w:val="right"/>
    </w:pPr>
    <w:r w:rsidRPr="00F55A9A">
      <w:rPr>
        <w:noProof/>
        <w:lang w:eastAsia="en-GB" w:bidi="bn-IN"/>
      </w:rPr>
      <w:drawing>
        <wp:inline distT="0" distB="0" distL="0" distR="0" wp14:anchorId="23EFEFE8" wp14:editId="46D352ED">
          <wp:extent cx="1572895" cy="372110"/>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E3"/>
    <w:multiLevelType w:val="hybridMultilevel"/>
    <w:tmpl w:val="BBF2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2EA1"/>
    <w:multiLevelType w:val="hybridMultilevel"/>
    <w:tmpl w:val="20A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C15D6"/>
    <w:multiLevelType w:val="hybridMultilevel"/>
    <w:tmpl w:val="C24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36D9A"/>
    <w:multiLevelType w:val="hybridMultilevel"/>
    <w:tmpl w:val="EEF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440D0"/>
    <w:multiLevelType w:val="hybridMultilevel"/>
    <w:tmpl w:val="3C18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90700"/>
    <w:multiLevelType w:val="hybridMultilevel"/>
    <w:tmpl w:val="726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B2732"/>
    <w:multiLevelType w:val="hybridMultilevel"/>
    <w:tmpl w:val="D144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57AF"/>
    <w:multiLevelType w:val="hybridMultilevel"/>
    <w:tmpl w:val="C7EC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750A1"/>
    <w:multiLevelType w:val="hybridMultilevel"/>
    <w:tmpl w:val="DAF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12CB6"/>
    <w:multiLevelType w:val="hybridMultilevel"/>
    <w:tmpl w:val="41C22642"/>
    <w:lvl w:ilvl="0" w:tplc="FD58AE8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C6309"/>
    <w:multiLevelType w:val="hybridMultilevel"/>
    <w:tmpl w:val="25BA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36CBD"/>
    <w:multiLevelType w:val="hybridMultilevel"/>
    <w:tmpl w:val="AF2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81B45"/>
    <w:multiLevelType w:val="hybridMultilevel"/>
    <w:tmpl w:val="A332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F3789"/>
    <w:multiLevelType w:val="hybridMultilevel"/>
    <w:tmpl w:val="5E86AAC2"/>
    <w:lvl w:ilvl="0" w:tplc="69AA209E">
      <w:start w:val="1"/>
      <w:numFmt w:val="bullet"/>
      <w:lvlText w:val=""/>
      <w:lvlJc w:val="left"/>
      <w:pPr>
        <w:ind w:left="720" w:hanging="360"/>
      </w:pPr>
      <w:rPr>
        <w:rFonts w:ascii="Symbol" w:hAnsi="Symbol" w:hint="default"/>
      </w:rPr>
    </w:lvl>
    <w:lvl w:ilvl="1" w:tplc="D58C11BC">
      <w:start w:val="1"/>
      <w:numFmt w:val="bullet"/>
      <w:lvlText w:val="o"/>
      <w:lvlJc w:val="left"/>
      <w:pPr>
        <w:ind w:left="1440" w:hanging="360"/>
      </w:pPr>
      <w:rPr>
        <w:rFonts w:ascii="Courier New" w:hAnsi="Courier New" w:hint="default"/>
      </w:rPr>
    </w:lvl>
    <w:lvl w:ilvl="2" w:tplc="A9269A0E">
      <w:start w:val="1"/>
      <w:numFmt w:val="bullet"/>
      <w:lvlText w:val=""/>
      <w:lvlJc w:val="left"/>
      <w:pPr>
        <w:ind w:left="2160" w:hanging="360"/>
      </w:pPr>
      <w:rPr>
        <w:rFonts w:ascii="Wingdings" w:hAnsi="Wingdings" w:hint="default"/>
      </w:rPr>
    </w:lvl>
    <w:lvl w:ilvl="3" w:tplc="B4022FCC">
      <w:start w:val="1"/>
      <w:numFmt w:val="bullet"/>
      <w:lvlText w:val=""/>
      <w:lvlJc w:val="left"/>
      <w:pPr>
        <w:ind w:left="2880" w:hanging="360"/>
      </w:pPr>
      <w:rPr>
        <w:rFonts w:ascii="Symbol" w:hAnsi="Symbol" w:hint="default"/>
      </w:rPr>
    </w:lvl>
    <w:lvl w:ilvl="4" w:tplc="EFC86006">
      <w:start w:val="1"/>
      <w:numFmt w:val="bullet"/>
      <w:lvlText w:val="o"/>
      <w:lvlJc w:val="left"/>
      <w:pPr>
        <w:ind w:left="3600" w:hanging="360"/>
      </w:pPr>
      <w:rPr>
        <w:rFonts w:ascii="Courier New" w:hAnsi="Courier New" w:hint="default"/>
      </w:rPr>
    </w:lvl>
    <w:lvl w:ilvl="5" w:tplc="44E69AD6">
      <w:start w:val="1"/>
      <w:numFmt w:val="bullet"/>
      <w:lvlText w:val=""/>
      <w:lvlJc w:val="left"/>
      <w:pPr>
        <w:ind w:left="4320" w:hanging="360"/>
      </w:pPr>
      <w:rPr>
        <w:rFonts w:ascii="Wingdings" w:hAnsi="Wingdings" w:hint="default"/>
      </w:rPr>
    </w:lvl>
    <w:lvl w:ilvl="6" w:tplc="6F8CCE5E">
      <w:start w:val="1"/>
      <w:numFmt w:val="bullet"/>
      <w:lvlText w:val=""/>
      <w:lvlJc w:val="left"/>
      <w:pPr>
        <w:ind w:left="5040" w:hanging="360"/>
      </w:pPr>
      <w:rPr>
        <w:rFonts w:ascii="Symbol" w:hAnsi="Symbol" w:hint="default"/>
      </w:rPr>
    </w:lvl>
    <w:lvl w:ilvl="7" w:tplc="A4723A02">
      <w:start w:val="1"/>
      <w:numFmt w:val="bullet"/>
      <w:lvlText w:val="o"/>
      <w:lvlJc w:val="left"/>
      <w:pPr>
        <w:ind w:left="5760" w:hanging="360"/>
      </w:pPr>
      <w:rPr>
        <w:rFonts w:ascii="Courier New" w:hAnsi="Courier New" w:hint="default"/>
      </w:rPr>
    </w:lvl>
    <w:lvl w:ilvl="8" w:tplc="D732457E">
      <w:start w:val="1"/>
      <w:numFmt w:val="bullet"/>
      <w:lvlText w:val=""/>
      <w:lvlJc w:val="left"/>
      <w:pPr>
        <w:ind w:left="6480" w:hanging="360"/>
      </w:pPr>
      <w:rPr>
        <w:rFonts w:ascii="Wingdings" w:hAnsi="Wingdings" w:hint="default"/>
      </w:rPr>
    </w:lvl>
  </w:abstractNum>
  <w:abstractNum w:abstractNumId="14" w15:restartNumberingAfterBreak="0">
    <w:nsid w:val="3CD4598E"/>
    <w:multiLevelType w:val="hybridMultilevel"/>
    <w:tmpl w:val="CB3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335AD"/>
    <w:multiLevelType w:val="hybridMultilevel"/>
    <w:tmpl w:val="DFC0752E"/>
    <w:lvl w:ilvl="0" w:tplc="DC9CE128">
      <w:start w:val="1"/>
      <w:numFmt w:val="bullet"/>
      <w:lvlText w:val="·"/>
      <w:lvlJc w:val="left"/>
      <w:pPr>
        <w:ind w:left="720" w:hanging="360"/>
      </w:pPr>
      <w:rPr>
        <w:rFonts w:ascii="Symbol" w:hAnsi="Symbol" w:hint="default"/>
      </w:rPr>
    </w:lvl>
    <w:lvl w:ilvl="1" w:tplc="6B2E5A12">
      <w:start w:val="1"/>
      <w:numFmt w:val="bullet"/>
      <w:lvlText w:val="o"/>
      <w:lvlJc w:val="left"/>
      <w:pPr>
        <w:ind w:left="1440" w:hanging="360"/>
      </w:pPr>
      <w:rPr>
        <w:rFonts w:ascii="Courier New" w:hAnsi="Courier New" w:hint="default"/>
      </w:rPr>
    </w:lvl>
    <w:lvl w:ilvl="2" w:tplc="BA4A4B58">
      <w:start w:val="1"/>
      <w:numFmt w:val="bullet"/>
      <w:lvlText w:val=""/>
      <w:lvlJc w:val="left"/>
      <w:pPr>
        <w:ind w:left="2160" w:hanging="360"/>
      </w:pPr>
      <w:rPr>
        <w:rFonts w:ascii="Wingdings" w:hAnsi="Wingdings" w:hint="default"/>
      </w:rPr>
    </w:lvl>
    <w:lvl w:ilvl="3" w:tplc="0848EE16">
      <w:start w:val="1"/>
      <w:numFmt w:val="bullet"/>
      <w:lvlText w:val=""/>
      <w:lvlJc w:val="left"/>
      <w:pPr>
        <w:ind w:left="2880" w:hanging="360"/>
      </w:pPr>
      <w:rPr>
        <w:rFonts w:ascii="Symbol" w:hAnsi="Symbol" w:hint="default"/>
      </w:rPr>
    </w:lvl>
    <w:lvl w:ilvl="4" w:tplc="4060F738">
      <w:start w:val="1"/>
      <w:numFmt w:val="bullet"/>
      <w:lvlText w:val="o"/>
      <w:lvlJc w:val="left"/>
      <w:pPr>
        <w:ind w:left="3600" w:hanging="360"/>
      </w:pPr>
      <w:rPr>
        <w:rFonts w:ascii="Courier New" w:hAnsi="Courier New" w:hint="default"/>
      </w:rPr>
    </w:lvl>
    <w:lvl w:ilvl="5" w:tplc="D3FA9BEC">
      <w:start w:val="1"/>
      <w:numFmt w:val="bullet"/>
      <w:lvlText w:val=""/>
      <w:lvlJc w:val="left"/>
      <w:pPr>
        <w:ind w:left="4320" w:hanging="360"/>
      </w:pPr>
      <w:rPr>
        <w:rFonts w:ascii="Wingdings" w:hAnsi="Wingdings" w:hint="default"/>
      </w:rPr>
    </w:lvl>
    <w:lvl w:ilvl="6" w:tplc="27C62338">
      <w:start w:val="1"/>
      <w:numFmt w:val="bullet"/>
      <w:lvlText w:val=""/>
      <w:lvlJc w:val="left"/>
      <w:pPr>
        <w:ind w:left="5040" w:hanging="360"/>
      </w:pPr>
      <w:rPr>
        <w:rFonts w:ascii="Symbol" w:hAnsi="Symbol" w:hint="default"/>
      </w:rPr>
    </w:lvl>
    <w:lvl w:ilvl="7" w:tplc="7C1A53C6">
      <w:start w:val="1"/>
      <w:numFmt w:val="bullet"/>
      <w:lvlText w:val="o"/>
      <w:lvlJc w:val="left"/>
      <w:pPr>
        <w:ind w:left="5760" w:hanging="360"/>
      </w:pPr>
      <w:rPr>
        <w:rFonts w:ascii="Courier New" w:hAnsi="Courier New" w:hint="default"/>
      </w:rPr>
    </w:lvl>
    <w:lvl w:ilvl="8" w:tplc="5A3C06A0">
      <w:start w:val="1"/>
      <w:numFmt w:val="bullet"/>
      <w:lvlText w:val=""/>
      <w:lvlJc w:val="left"/>
      <w:pPr>
        <w:ind w:left="6480" w:hanging="360"/>
      </w:pPr>
      <w:rPr>
        <w:rFonts w:ascii="Wingdings" w:hAnsi="Wingdings" w:hint="default"/>
      </w:rPr>
    </w:lvl>
  </w:abstractNum>
  <w:abstractNum w:abstractNumId="16" w15:restartNumberingAfterBreak="0">
    <w:nsid w:val="3FD93197"/>
    <w:multiLevelType w:val="hybridMultilevel"/>
    <w:tmpl w:val="3F9A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345AB"/>
    <w:multiLevelType w:val="hybridMultilevel"/>
    <w:tmpl w:val="FB06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33504"/>
    <w:multiLevelType w:val="hybridMultilevel"/>
    <w:tmpl w:val="7FA8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970C6"/>
    <w:multiLevelType w:val="hybridMultilevel"/>
    <w:tmpl w:val="5DEA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02D95"/>
    <w:multiLevelType w:val="hybridMultilevel"/>
    <w:tmpl w:val="F41A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665E9"/>
    <w:multiLevelType w:val="hybridMultilevel"/>
    <w:tmpl w:val="D2A6D8AA"/>
    <w:lvl w:ilvl="0" w:tplc="9D6602BC">
      <w:start w:val="1"/>
      <w:numFmt w:val="bullet"/>
      <w:lvlText w:val=""/>
      <w:lvlJc w:val="left"/>
      <w:pPr>
        <w:ind w:left="720" w:hanging="360"/>
      </w:pPr>
      <w:rPr>
        <w:rFonts w:ascii="Symbol" w:hAnsi="Symbol" w:hint="default"/>
      </w:rPr>
    </w:lvl>
    <w:lvl w:ilvl="1" w:tplc="300CB028">
      <w:start w:val="1"/>
      <w:numFmt w:val="bullet"/>
      <w:lvlText w:val="o"/>
      <w:lvlJc w:val="left"/>
      <w:pPr>
        <w:ind w:left="1440" w:hanging="360"/>
      </w:pPr>
      <w:rPr>
        <w:rFonts w:ascii="Courier New" w:hAnsi="Courier New" w:hint="default"/>
      </w:rPr>
    </w:lvl>
    <w:lvl w:ilvl="2" w:tplc="95881344">
      <w:start w:val="1"/>
      <w:numFmt w:val="bullet"/>
      <w:lvlText w:val=""/>
      <w:lvlJc w:val="left"/>
      <w:pPr>
        <w:ind w:left="2160" w:hanging="360"/>
      </w:pPr>
      <w:rPr>
        <w:rFonts w:ascii="Wingdings" w:hAnsi="Wingdings" w:hint="default"/>
      </w:rPr>
    </w:lvl>
    <w:lvl w:ilvl="3" w:tplc="6C821FEC">
      <w:start w:val="1"/>
      <w:numFmt w:val="bullet"/>
      <w:lvlText w:val=""/>
      <w:lvlJc w:val="left"/>
      <w:pPr>
        <w:ind w:left="2880" w:hanging="360"/>
      </w:pPr>
      <w:rPr>
        <w:rFonts w:ascii="Symbol" w:hAnsi="Symbol" w:hint="default"/>
      </w:rPr>
    </w:lvl>
    <w:lvl w:ilvl="4" w:tplc="2864E908">
      <w:start w:val="1"/>
      <w:numFmt w:val="bullet"/>
      <w:lvlText w:val="o"/>
      <w:lvlJc w:val="left"/>
      <w:pPr>
        <w:ind w:left="3600" w:hanging="360"/>
      </w:pPr>
      <w:rPr>
        <w:rFonts w:ascii="Courier New" w:hAnsi="Courier New" w:hint="default"/>
      </w:rPr>
    </w:lvl>
    <w:lvl w:ilvl="5" w:tplc="795C2EE4">
      <w:start w:val="1"/>
      <w:numFmt w:val="bullet"/>
      <w:lvlText w:val=""/>
      <w:lvlJc w:val="left"/>
      <w:pPr>
        <w:ind w:left="4320" w:hanging="360"/>
      </w:pPr>
      <w:rPr>
        <w:rFonts w:ascii="Wingdings" w:hAnsi="Wingdings" w:hint="default"/>
      </w:rPr>
    </w:lvl>
    <w:lvl w:ilvl="6" w:tplc="48AE8AD4">
      <w:start w:val="1"/>
      <w:numFmt w:val="bullet"/>
      <w:lvlText w:val=""/>
      <w:lvlJc w:val="left"/>
      <w:pPr>
        <w:ind w:left="5040" w:hanging="360"/>
      </w:pPr>
      <w:rPr>
        <w:rFonts w:ascii="Symbol" w:hAnsi="Symbol" w:hint="default"/>
      </w:rPr>
    </w:lvl>
    <w:lvl w:ilvl="7" w:tplc="7EFAB11C">
      <w:start w:val="1"/>
      <w:numFmt w:val="bullet"/>
      <w:lvlText w:val="o"/>
      <w:lvlJc w:val="left"/>
      <w:pPr>
        <w:ind w:left="5760" w:hanging="360"/>
      </w:pPr>
      <w:rPr>
        <w:rFonts w:ascii="Courier New" w:hAnsi="Courier New" w:hint="default"/>
      </w:rPr>
    </w:lvl>
    <w:lvl w:ilvl="8" w:tplc="2A009036">
      <w:start w:val="1"/>
      <w:numFmt w:val="bullet"/>
      <w:lvlText w:val=""/>
      <w:lvlJc w:val="left"/>
      <w:pPr>
        <w:ind w:left="6480" w:hanging="360"/>
      </w:pPr>
      <w:rPr>
        <w:rFonts w:ascii="Wingdings" w:hAnsi="Wingdings" w:hint="default"/>
      </w:rPr>
    </w:lvl>
  </w:abstractNum>
  <w:abstractNum w:abstractNumId="22" w15:restartNumberingAfterBreak="0">
    <w:nsid w:val="5DCB7007"/>
    <w:multiLevelType w:val="hybridMultilevel"/>
    <w:tmpl w:val="0BDE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41D58"/>
    <w:multiLevelType w:val="hybridMultilevel"/>
    <w:tmpl w:val="C244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A04CB"/>
    <w:multiLevelType w:val="hybridMultilevel"/>
    <w:tmpl w:val="FB64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B2E0E"/>
    <w:multiLevelType w:val="hybridMultilevel"/>
    <w:tmpl w:val="3840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F5874"/>
    <w:multiLevelType w:val="hybridMultilevel"/>
    <w:tmpl w:val="21D8D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078EC"/>
    <w:multiLevelType w:val="hybridMultilevel"/>
    <w:tmpl w:val="9182C28A"/>
    <w:lvl w:ilvl="0" w:tplc="D4FA1878">
      <w:start w:val="1"/>
      <w:numFmt w:val="bullet"/>
      <w:lvlText w:val=""/>
      <w:lvlJc w:val="left"/>
      <w:pPr>
        <w:ind w:left="720" w:hanging="360"/>
      </w:pPr>
      <w:rPr>
        <w:rFonts w:ascii="Symbol" w:hAnsi="Symbol" w:hint="default"/>
      </w:rPr>
    </w:lvl>
    <w:lvl w:ilvl="1" w:tplc="FD4E3572">
      <w:start w:val="1"/>
      <w:numFmt w:val="bullet"/>
      <w:lvlText w:val="o"/>
      <w:lvlJc w:val="left"/>
      <w:pPr>
        <w:ind w:left="1440" w:hanging="360"/>
      </w:pPr>
      <w:rPr>
        <w:rFonts w:ascii="Courier New" w:hAnsi="Courier New" w:hint="default"/>
      </w:rPr>
    </w:lvl>
    <w:lvl w:ilvl="2" w:tplc="E82C87A6">
      <w:start w:val="1"/>
      <w:numFmt w:val="bullet"/>
      <w:lvlText w:val=""/>
      <w:lvlJc w:val="left"/>
      <w:pPr>
        <w:ind w:left="2160" w:hanging="360"/>
      </w:pPr>
      <w:rPr>
        <w:rFonts w:ascii="Wingdings" w:hAnsi="Wingdings" w:hint="default"/>
      </w:rPr>
    </w:lvl>
    <w:lvl w:ilvl="3" w:tplc="8F30C9CC">
      <w:start w:val="1"/>
      <w:numFmt w:val="bullet"/>
      <w:lvlText w:val=""/>
      <w:lvlJc w:val="left"/>
      <w:pPr>
        <w:ind w:left="2880" w:hanging="360"/>
      </w:pPr>
      <w:rPr>
        <w:rFonts w:ascii="Symbol" w:hAnsi="Symbol" w:hint="default"/>
      </w:rPr>
    </w:lvl>
    <w:lvl w:ilvl="4" w:tplc="1416D8D2">
      <w:start w:val="1"/>
      <w:numFmt w:val="bullet"/>
      <w:lvlText w:val="o"/>
      <w:lvlJc w:val="left"/>
      <w:pPr>
        <w:ind w:left="3600" w:hanging="360"/>
      </w:pPr>
      <w:rPr>
        <w:rFonts w:ascii="Courier New" w:hAnsi="Courier New" w:hint="default"/>
      </w:rPr>
    </w:lvl>
    <w:lvl w:ilvl="5" w:tplc="835E3E32">
      <w:start w:val="1"/>
      <w:numFmt w:val="bullet"/>
      <w:lvlText w:val=""/>
      <w:lvlJc w:val="left"/>
      <w:pPr>
        <w:ind w:left="4320" w:hanging="360"/>
      </w:pPr>
      <w:rPr>
        <w:rFonts w:ascii="Wingdings" w:hAnsi="Wingdings" w:hint="default"/>
      </w:rPr>
    </w:lvl>
    <w:lvl w:ilvl="6" w:tplc="60645AD2">
      <w:start w:val="1"/>
      <w:numFmt w:val="bullet"/>
      <w:lvlText w:val=""/>
      <w:lvlJc w:val="left"/>
      <w:pPr>
        <w:ind w:left="5040" w:hanging="360"/>
      </w:pPr>
      <w:rPr>
        <w:rFonts w:ascii="Symbol" w:hAnsi="Symbol" w:hint="default"/>
      </w:rPr>
    </w:lvl>
    <w:lvl w:ilvl="7" w:tplc="C0728884">
      <w:start w:val="1"/>
      <w:numFmt w:val="bullet"/>
      <w:lvlText w:val="o"/>
      <w:lvlJc w:val="left"/>
      <w:pPr>
        <w:ind w:left="5760" w:hanging="360"/>
      </w:pPr>
      <w:rPr>
        <w:rFonts w:ascii="Courier New" w:hAnsi="Courier New" w:hint="default"/>
      </w:rPr>
    </w:lvl>
    <w:lvl w:ilvl="8" w:tplc="9148E422">
      <w:start w:val="1"/>
      <w:numFmt w:val="bullet"/>
      <w:lvlText w:val=""/>
      <w:lvlJc w:val="left"/>
      <w:pPr>
        <w:ind w:left="6480" w:hanging="360"/>
      </w:pPr>
      <w:rPr>
        <w:rFonts w:ascii="Wingdings" w:hAnsi="Wingdings" w:hint="default"/>
      </w:rPr>
    </w:lvl>
  </w:abstractNum>
  <w:abstractNum w:abstractNumId="28" w15:restartNumberingAfterBreak="0">
    <w:nsid w:val="742C0447"/>
    <w:multiLevelType w:val="hybridMultilevel"/>
    <w:tmpl w:val="D302A4B6"/>
    <w:lvl w:ilvl="0" w:tplc="EB20BBF6">
      <w:start w:val="1"/>
      <w:numFmt w:val="bullet"/>
      <w:pStyle w:val="Header"/>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78A81430"/>
    <w:multiLevelType w:val="hybridMultilevel"/>
    <w:tmpl w:val="4CC0F412"/>
    <w:lvl w:ilvl="0" w:tplc="EF542F00">
      <w:start w:val="1"/>
      <w:numFmt w:val="bullet"/>
      <w:lvlText w:val=""/>
      <w:lvlJc w:val="left"/>
      <w:pPr>
        <w:ind w:left="720" w:hanging="360"/>
      </w:pPr>
      <w:rPr>
        <w:rFonts w:ascii="Symbol" w:hAnsi="Symbol" w:hint="default"/>
      </w:rPr>
    </w:lvl>
    <w:lvl w:ilvl="1" w:tplc="8B72FE92">
      <w:start w:val="1"/>
      <w:numFmt w:val="bullet"/>
      <w:lvlText w:val="o"/>
      <w:lvlJc w:val="left"/>
      <w:pPr>
        <w:ind w:left="1440" w:hanging="360"/>
      </w:pPr>
      <w:rPr>
        <w:rFonts w:ascii="Courier New" w:hAnsi="Courier New" w:hint="default"/>
      </w:rPr>
    </w:lvl>
    <w:lvl w:ilvl="2" w:tplc="D33E9C8E">
      <w:start w:val="1"/>
      <w:numFmt w:val="bullet"/>
      <w:lvlText w:val=""/>
      <w:lvlJc w:val="left"/>
      <w:pPr>
        <w:ind w:left="2160" w:hanging="360"/>
      </w:pPr>
      <w:rPr>
        <w:rFonts w:ascii="Wingdings" w:hAnsi="Wingdings" w:hint="default"/>
      </w:rPr>
    </w:lvl>
    <w:lvl w:ilvl="3" w:tplc="7EF4EA8C">
      <w:start w:val="1"/>
      <w:numFmt w:val="bullet"/>
      <w:lvlText w:val=""/>
      <w:lvlJc w:val="left"/>
      <w:pPr>
        <w:ind w:left="2880" w:hanging="360"/>
      </w:pPr>
      <w:rPr>
        <w:rFonts w:ascii="Symbol" w:hAnsi="Symbol" w:hint="default"/>
      </w:rPr>
    </w:lvl>
    <w:lvl w:ilvl="4" w:tplc="887A2C7C">
      <w:start w:val="1"/>
      <w:numFmt w:val="bullet"/>
      <w:lvlText w:val="o"/>
      <w:lvlJc w:val="left"/>
      <w:pPr>
        <w:ind w:left="3600" w:hanging="360"/>
      </w:pPr>
      <w:rPr>
        <w:rFonts w:ascii="Courier New" w:hAnsi="Courier New" w:hint="default"/>
      </w:rPr>
    </w:lvl>
    <w:lvl w:ilvl="5" w:tplc="20ACDF8C">
      <w:start w:val="1"/>
      <w:numFmt w:val="bullet"/>
      <w:lvlText w:val=""/>
      <w:lvlJc w:val="left"/>
      <w:pPr>
        <w:ind w:left="4320" w:hanging="360"/>
      </w:pPr>
      <w:rPr>
        <w:rFonts w:ascii="Wingdings" w:hAnsi="Wingdings" w:hint="default"/>
      </w:rPr>
    </w:lvl>
    <w:lvl w:ilvl="6" w:tplc="AAF4E346">
      <w:start w:val="1"/>
      <w:numFmt w:val="bullet"/>
      <w:lvlText w:val=""/>
      <w:lvlJc w:val="left"/>
      <w:pPr>
        <w:ind w:left="5040" w:hanging="360"/>
      </w:pPr>
      <w:rPr>
        <w:rFonts w:ascii="Symbol" w:hAnsi="Symbol" w:hint="default"/>
      </w:rPr>
    </w:lvl>
    <w:lvl w:ilvl="7" w:tplc="8F88D7C2">
      <w:start w:val="1"/>
      <w:numFmt w:val="bullet"/>
      <w:lvlText w:val="o"/>
      <w:lvlJc w:val="left"/>
      <w:pPr>
        <w:ind w:left="5760" w:hanging="360"/>
      </w:pPr>
      <w:rPr>
        <w:rFonts w:ascii="Courier New" w:hAnsi="Courier New" w:hint="default"/>
      </w:rPr>
    </w:lvl>
    <w:lvl w:ilvl="8" w:tplc="C9D819BA">
      <w:start w:val="1"/>
      <w:numFmt w:val="bullet"/>
      <w:lvlText w:val=""/>
      <w:lvlJc w:val="left"/>
      <w:pPr>
        <w:ind w:left="6480" w:hanging="360"/>
      </w:pPr>
      <w:rPr>
        <w:rFonts w:ascii="Wingdings" w:hAnsi="Wingdings" w:hint="default"/>
      </w:rPr>
    </w:lvl>
  </w:abstractNum>
  <w:abstractNum w:abstractNumId="30" w15:restartNumberingAfterBreak="0">
    <w:nsid w:val="79BD23BD"/>
    <w:multiLevelType w:val="hybridMultilevel"/>
    <w:tmpl w:val="29785E0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7B245B52"/>
    <w:multiLevelType w:val="hybridMultilevel"/>
    <w:tmpl w:val="32C2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8289C"/>
    <w:multiLevelType w:val="hybridMultilevel"/>
    <w:tmpl w:val="3C50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B59E7"/>
    <w:multiLevelType w:val="hybridMultilevel"/>
    <w:tmpl w:val="8EAE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1"/>
  </w:num>
  <w:num w:numId="4">
    <w:abstractNumId w:val="27"/>
  </w:num>
  <w:num w:numId="5">
    <w:abstractNumId w:val="6"/>
  </w:num>
  <w:num w:numId="6">
    <w:abstractNumId w:val="7"/>
  </w:num>
  <w:num w:numId="7">
    <w:abstractNumId w:val="30"/>
  </w:num>
  <w:num w:numId="8">
    <w:abstractNumId w:val="18"/>
  </w:num>
  <w:num w:numId="9">
    <w:abstractNumId w:val="16"/>
  </w:num>
  <w:num w:numId="10">
    <w:abstractNumId w:val="10"/>
  </w:num>
  <w:num w:numId="11">
    <w:abstractNumId w:val="9"/>
  </w:num>
  <w:num w:numId="12">
    <w:abstractNumId w:val="2"/>
  </w:num>
  <w:num w:numId="13">
    <w:abstractNumId w:val="13"/>
  </w:num>
  <w:num w:numId="14">
    <w:abstractNumId w:val="24"/>
  </w:num>
  <w:num w:numId="15">
    <w:abstractNumId w:val="12"/>
  </w:num>
  <w:num w:numId="16">
    <w:abstractNumId w:val="17"/>
  </w:num>
  <w:num w:numId="17">
    <w:abstractNumId w:val="3"/>
  </w:num>
  <w:num w:numId="18">
    <w:abstractNumId w:val="1"/>
  </w:num>
  <w:num w:numId="19">
    <w:abstractNumId w:val="25"/>
  </w:num>
  <w:num w:numId="20">
    <w:abstractNumId w:val="23"/>
  </w:num>
  <w:num w:numId="21">
    <w:abstractNumId w:val="19"/>
  </w:num>
  <w:num w:numId="22">
    <w:abstractNumId w:val="11"/>
  </w:num>
  <w:num w:numId="23">
    <w:abstractNumId w:val="4"/>
  </w:num>
  <w:num w:numId="24">
    <w:abstractNumId w:val="20"/>
  </w:num>
  <w:num w:numId="25">
    <w:abstractNumId w:val="8"/>
  </w:num>
  <w:num w:numId="26">
    <w:abstractNumId w:val="22"/>
  </w:num>
  <w:num w:numId="27">
    <w:abstractNumId w:val="32"/>
  </w:num>
  <w:num w:numId="28">
    <w:abstractNumId w:val="14"/>
  </w:num>
  <w:num w:numId="29">
    <w:abstractNumId w:val="31"/>
  </w:num>
  <w:num w:numId="30">
    <w:abstractNumId w:val="5"/>
  </w:num>
  <w:num w:numId="31">
    <w:abstractNumId w:val="0"/>
  </w:num>
  <w:num w:numId="32">
    <w:abstractNumId w:val="28"/>
    <w:lvlOverride w:ilvl="0"/>
    <w:lvlOverride w:ilvl="1"/>
    <w:lvlOverride w:ilvl="2"/>
    <w:lvlOverride w:ilvl="3"/>
    <w:lvlOverride w:ilvl="4"/>
    <w:lvlOverride w:ilvl="5"/>
    <w:lvlOverride w:ilvl="6"/>
    <w:lvlOverride w:ilvl="7"/>
    <w:lvlOverride w:ilvl="8"/>
  </w:num>
  <w:num w:numId="33">
    <w:abstractNumId w:val="33"/>
    <w:lvlOverride w:ilvl="0"/>
    <w:lvlOverride w:ilvl="1"/>
    <w:lvlOverride w:ilvl="2"/>
    <w:lvlOverride w:ilvl="3"/>
    <w:lvlOverride w:ilvl="4"/>
    <w:lvlOverride w:ilvl="5"/>
    <w:lvlOverride w:ilvl="6"/>
    <w:lvlOverride w:ilvl="7"/>
    <w:lvlOverride w:ilv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A3"/>
    <w:rsid w:val="0000082C"/>
    <w:rsid w:val="0000082F"/>
    <w:rsid w:val="00001E92"/>
    <w:rsid w:val="0000385A"/>
    <w:rsid w:val="00005153"/>
    <w:rsid w:val="0001005D"/>
    <w:rsid w:val="00010582"/>
    <w:rsid w:val="000108F4"/>
    <w:rsid w:val="0001223B"/>
    <w:rsid w:val="000142F7"/>
    <w:rsid w:val="00016B4A"/>
    <w:rsid w:val="000177A0"/>
    <w:rsid w:val="00020872"/>
    <w:rsid w:val="0002190A"/>
    <w:rsid w:val="00021985"/>
    <w:rsid w:val="00021CCD"/>
    <w:rsid w:val="00021D64"/>
    <w:rsid w:val="000231C6"/>
    <w:rsid w:val="00023DB6"/>
    <w:rsid w:val="000257CA"/>
    <w:rsid w:val="0002608E"/>
    <w:rsid w:val="00032F4F"/>
    <w:rsid w:val="000338AE"/>
    <w:rsid w:val="000355AD"/>
    <w:rsid w:val="00035678"/>
    <w:rsid w:val="00036018"/>
    <w:rsid w:val="000371CF"/>
    <w:rsid w:val="000419FC"/>
    <w:rsid w:val="00043EF2"/>
    <w:rsid w:val="00043FDB"/>
    <w:rsid w:val="00044FF1"/>
    <w:rsid w:val="00046549"/>
    <w:rsid w:val="00046F7F"/>
    <w:rsid w:val="000504E0"/>
    <w:rsid w:val="000509F8"/>
    <w:rsid w:val="00051245"/>
    <w:rsid w:val="000519D4"/>
    <w:rsid w:val="000558F6"/>
    <w:rsid w:val="000566FD"/>
    <w:rsid w:val="00056B2B"/>
    <w:rsid w:val="00056C6F"/>
    <w:rsid w:val="00056FD3"/>
    <w:rsid w:val="00060D8B"/>
    <w:rsid w:val="00061633"/>
    <w:rsid w:val="000665F2"/>
    <w:rsid w:val="000672AC"/>
    <w:rsid w:val="000677F1"/>
    <w:rsid w:val="000678A4"/>
    <w:rsid w:val="000700B9"/>
    <w:rsid w:val="00070243"/>
    <w:rsid w:val="0007101A"/>
    <w:rsid w:val="00073148"/>
    <w:rsid w:val="00073426"/>
    <w:rsid w:val="0007600E"/>
    <w:rsid w:val="0007637C"/>
    <w:rsid w:val="00076A9A"/>
    <w:rsid w:val="0008177A"/>
    <w:rsid w:val="00081B83"/>
    <w:rsid w:val="000823B1"/>
    <w:rsid w:val="00083459"/>
    <w:rsid w:val="00086274"/>
    <w:rsid w:val="000862D6"/>
    <w:rsid w:val="000871DE"/>
    <w:rsid w:val="00087F6E"/>
    <w:rsid w:val="00087FB1"/>
    <w:rsid w:val="000909C6"/>
    <w:rsid w:val="0009126F"/>
    <w:rsid w:val="00093917"/>
    <w:rsid w:val="00094C12"/>
    <w:rsid w:val="00095DAD"/>
    <w:rsid w:val="00095F00"/>
    <w:rsid w:val="000979E4"/>
    <w:rsid w:val="00097C57"/>
    <w:rsid w:val="000A00BB"/>
    <w:rsid w:val="000A01D9"/>
    <w:rsid w:val="000A03C5"/>
    <w:rsid w:val="000A0D15"/>
    <w:rsid w:val="000A0EFC"/>
    <w:rsid w:val="000A2AE8"/>
    <w:rsid w:val="000A393C"/>
    <w:rsid w:val="000B1063"/>
    <w:rsid w:val="000B1DA5"/>
    <w:rsid w:val="000B2E94"/>
    <w:rsid w:val="000B65DF"/>
    <w:rsid w:val="000C02B7"/>
    <w:rsid w:val="000C1CD4"/>
    <w:rsid w:val="000C3505"/>
    <w:rsid w:val="000C3A1C"/>
    <w:rsid w:val="000C4086"/>
    <w:rsid w:val="000C43BB"/>
    <w:rsid w:val="000C5066"/>
    <w:rsid w:val="000C53DF"/>
    <w:rsid w:val="000C72E0"/>
    <w:rsid w:val="000C7D0A"/>
    <w:rsid w:val="000D067A"/>
    <w:rsid w:val="000D146B"/>
    <w:rsid w:val="000D1788"/>
    <w:rsid w:val="000D3687"/>
    <w:rsid w:val="000D4692"/>
    <w:rsid w:val="000D4FDA"/>
    <w:rsid w:val="000D5D40"/>
    <w:rsid w:val="000D60E5"/>
    <w:rsid w:val="000D643F"/>
    <w:rsid w:val="000E0015"/>
    <w:rsid w:val="000E0B16"/>
    <w:rsid w:val="000E0D5F"/>
    <w:rsid w:val="000E1952"/>
    <w:rsid w:val="000E3498"/>
    <w:rsid w:val="000E44B0"/>
    <w:rsid w:val="000E484F"/>
    <w:rsid w:val="000E5603"/>
    <w:rsid w:val="000E6A94"/>
    <w:rsid w:val="000E7281"/>
    <w:rsid w:val="000F01CC"/>
    <w:rsid w:val="000F0BC1"/>
    <w:rsid w:val="000F125F"/>
    <w:rsid w:val="000F300C"/>
    <w:rsid w:val="000F43CD"/>
    <w:rsid w:val="000F4A94"/>
    <w:rsid w:val="000F593A"/>
    <w:rsid w:val="000F5E19"/>
    <w:rsid w:val="000F6B8B"/>
    <w:rsid w:val="000F7781"/>
    <w:rsid w:val="000F77FD"/>
    <w:rsid w:val="000F7BA8"/>
    <w:rsid w:val="00102F1A"/>
    <w:rsid w:val="001045B8"/>
    <w:rsid w:val="00105B43"/>
    <w:rsid w:val="00106029"/>
    <w:rsid w:val="00106E48"/>
    <w:rsid w:val="001103A2"/>
    <w:rsid w:val="00110BA4"/>
    <w:rsid w:val="00110C0F"/>
    <w:rsid w:val="0011246A"/>
    <w:rsid w:val="00112D79"/>
    <w:rsid w:val="0011388F"/>
    <w:rsid w:val="00113E4F"/>
    <w:rsid w:val="001152CB"/>
    <w:rsid w:val="0012178D"/>
    <w:rsid w:val="001220F7"/>
    <w:rsid w:val="0012319D"/>
    <w:rsid w:val="00123C0D"/>
    <w:rsid w:val="00124407"/>
    <w:rsid w:val="00125ACC"/>
    <w:rsid w:val="00125C72"/>
    <w:rsid w:val="001263A0"/>
    <w:rsid w:val="00127861"/>
    <w:rsid w:val="00127CD9"/>
    <w:rsid w:val="00131F8E"/>
    <w:rsid w:val="00132A2C"/>
    <w:rsid w:val="00133491"/>
    <w:rsid w:val="00134693"/>
    <w:rsid w:val="00135589"/>
    <w:rsid w:val="001360EA"/>
    <w:rsid w:val="001370B5"/>
    <w:rsid w:val="001379BB"/>
    <w:rsid w:val="00137CAC"/>
    <w:rsid w:val="00140FE9"/>
    <w:rsid w:val="0014102D"/>
    <w:rsid w:val="00141045"/>
    <w:rsid w:val="00142D90"/>
    <w:rsid w:val="00145100"/>
    <w:rsid w:val="0014727C"/>
    <w:rsid w:val="001501B3"/>
    <w:rsid w:val="00151879"/>
    <w:rsid w:val="0015192D"/>
    <w:rsid w:val="00151D61"/>
    <w:rsid w:val="00152164"/>
    <w:rsid w:val="00152458"/>
    <w:rsid w:val="001524A7"/>
    <w:rsid w:val="00153136"/>
    <w:rsid w:val="00154FF5"/>
    <w:rsid w:val="001550BB"/>
    <w:rsid w:val="0015768D"/>
    <w:rsid w:val="00160B2F"/>
    <w:rsid w:val="00161FD5"/>
    <w:rsid w:val="001628BC"/>
    <w:rsid w:val="001629AD"/>
    <w:rsid w:val="00162C1B"/>
    <w:rsid w:val="00163931"/>
    <w:rsid w:val="00164D47"/>
    <w:rsid w:val="0016552E"/>
    <w:rsid w:val="00167DBD"/>
    <w:rsid w:val="00170F8E"/>
    <w:rsid w:val="00171035"/>
    <w:rsid w:val="00172AB3"/>
    <w:rsid w:val="00172FC1"/>
    <w:rsid w:val="00173BD6"/>
    <w:rsid w:val="00174CDD"/>
    <w:rsid w:val="0018372F"/>
    <w:rsid w:val="0018726B"/>
    <w:rsid w:val="001905D4"/>
    <w:rsid w:val="00191DB4"/>
    <w:rsid w:val="0019239D"/>
    <w:rsid w:val="00193493"/>
    <w:rsid w:val="00194A11"/>
    <w:rsid w:val="00194DF4"/>
    <w:rsid w:val="001964BF"/>
    <w:rsid w:val="00196F3B"/>
    <w:rsid w:val="0019750F"/>
    <w:rsid w:val="001A150D"/>
    <w:rsid w:val="001A2786"/>
    <w:rsid w:val="001A2ABD"/>
    <w:rsid w:val="001A419B"/>
    <w:rsid w:val="001A4E82"/>
    <w:rsid w:val="001A67D1"/>
    <w:rsid w:val="001B04DA"/>
    <w:rsid w:val="001B0C26"/>
    <w:rsid w:val="001B0E0D"/>
    <w:rsid w:val="001B2716"/>
    <w:rsid w:val="001B29F1"/>
    <w:rsid w:val="001B4E1C"/>
    <w:rsid w:val="001C07FF"/>
    <w:rsid w:val="001C2275"/>
    <w:rsid w:val="001C320B"/>
    <w:rsid w:val="001C459B"/>
    <w:rsid w:val="001C50A8"/>
    <w:rsid w:val="001D1E4B"/>
    <w:rsid w:val="001D45C6"/>
    <w:rsid w:val="001D4FB5"/>
    <w:rsid w:val="001D500B"/>
    <w:rsid w:val="001D55ED"/>
    <w:rsid w:val="001D7599"/>
    <w:rsid w:val="001D7F18"/>
    <w:rsid w:val="001E01A7"/>
    <w:rsid w:val="001E0B46"/>
    <w:rsid w:val="001E2028"/>
    <w:rsid w:val="001E22AF"/>
    <w:rsid w:val="001E24A9"/>
    <w:rsid w:val="001E26C4"/>
    <w:rsid w:val="001E39CF"/>
    <w:rsid w:val="001E44FB"/>
    <w:rsid w:val="001E48F0"/>
    <w:rsid w:val="001E567C"/>
    <w:rsid w:val="001E5931"/>
    <w:rsid w:val="001E6143"/>
    <w:rsid w:val="001E6AEC"/>
    <w:rsid w:val="001F0376"/>
    <w:rsid w:val="001F03BA"/>
    <w:rsid w:val="001F06E6"/>
    <w:rsid w:val="001F1266"/>
    <w:rsid w:val="001F2756"/>
    <w:rsid w:val="001F2D17"/>
    <w:rsid w:val="001F41E9"/>
    <w:rsid w:val="001F4373"/>
    <w:rsid w:val="001F7557"/>
    <w:rsid w:val="001F7937"/>
    <w:rsid w:val="002016CB"/>
    <w:rsid w:val="00202E47"/>
    <w:rsid w:val="00203CAD"/>
    <w:rsid w:val="00203DAD"/>
    <w:rsid w:val="00204B24"/>
    <w:rsid w:val="00205C6C"/>
    <w:rsid w:val="00211661"/>
    <w:rsid w:val="0021202F"/>
    <w:rsid w:val="002124C6"/>
    <w:rsid w:val="002131A7"/>
    <w:rsid w:val="002132C9"/>
    <w:rsid w:val="00213BF9"/>
    <w:rsid w:val="00216ADC"/>
    <w:rsid w:val="0021777C"/>
    <w:rsid w:val="00217B37"/>
    <w:rsid w:val="00217C84"/>
    <w:rsid w:val="00220004"/>
    <w:rsid w:val="002206F8"/>
    <w:rsid w:val="0022082E"/>
    <w:rsid w:val="0022083F"/>
    <w:rsid w:val="002212A0"/>
    <w:rsid w:val="0022227C"/>
    <w:rsid w:val="0022268B"/>
    <w:rsid w:val="00222E2D"/>
    <w:rsid w:val="00223E77"/>
    <w:rsid w:val="00224C38"/>
    <w:rsid w:val="00224DD6"/>
    <w:rsid w:val="002259EC"/>
    <w:rsid w:val="002270ED"/>
    <w:rsid w:val="00230A11"/>
    <w:rsid w:val="00230BEE"/>
    <w:rsid w:val="00230DEE"/>
    <w:rsid w:val="00230E02"/>
    <w:rsid w:val="0023178B"/>
    <w:rsid w:val="00232063"/>
    <w:rsid w:val="00233FA2"/>
    <w:rsid w:val="00234EA0"/>
    <w:rsid w:val="00234F0E"/>
    <w:rsid w:val="00236145"/>
    <w:rsid w:val="00240AD8"/>
    <w:rsid w:val="00240AFE"/>
    <w:rsid w:val="00243915"/>
    <w:rsid w:val="00243C2C"/>
    <w:rsid w:val="002443F8"/>
    <w:rsid w:val="002449F9"/>
    <w:rsid w:val="00245685"/>
    <w:rsid w:val="00246087"/>
    <w:rsid w:val="002470FD"/>
    <w:rsid w:val="00247479"/>
    <w:rsid w:val="00250434"/>
    <w:rsid w:val="002509FC"/>
    <w:rsid w:val="00250FA8"/>
    <w:rsid w:val="00251A8B"/>
    <w:rsid w:val="00251D49"/>
    <w:rsid w:val="00252844"/>
    <w:rsid w:val="00253004"/>
    <w:rsid w:val="00255402"/>
    <w:rsid w:val="002562FE"/>
    <w:rsid w:val="00257C88"/>
    <w:rsid w:val="0026016C"/>
    <w:rsid w:val="002606D7"/>
    <w:rsid w:val="00260731"/>
    <w:rsid w:val="00261A32"/>
    <w:rsid w:val="00263B1D"/>
    <w:rsid w:val="002651E7"/>
    <w:rsid w:val="0026588C"/>
    <w:rsid w:val="00265F1A"/>
    <w:rsid w:val="00266F8C"/>
    <w:rsid w:val="00267A25"/>
    <w:rsid w:val="00270E07"/>
    <w:rsid w:val="00273409"/>
    <w:rsid w:val="00273692"/>
    <w:rsid w:val="00273CBD"/>
    <w:rsid w:val="00273EF8"/>
    <w:rsid w:val="00280C79"/>
    <w:rsid w:val="00281415"/>
    <w:rsid w:val="002839EF"/>
    <w:rsid w:val="00284ADA"/>
    <w:rsid w:val="00285472"/>
    <w:rsid w:val="00285E9F"/>
    <w:rsid w:val="002860F4"/>
    <w:rsid w:val="00286B1B"/>
    <w:rsid w:val="00292232"/>
    <w:rsid w:val="00292267"/>
    <w:rsid w:val="002978A7"/>
    <w:rsid w:val="00297C78"/>
    <w:rsid w:val="002A0846"/>
    <w:rsid w:val="002A51C1"/>
    <w:rsid w:val="002B1A6A"/>
    <w:rsid w:val="002B1D15"/>
    <w:rsid w:val="002B2550"/>
    <w:rsid w:val="002B2605"/>
    <w:rsid w:val="002B59B2"/>
    <w:rsid w:val="002B6A31"/>
    <w:rsid w:val="002B6A9F"/>
    <w:rsid w:val="002C03E9"/>
    <w:rsid w:val="002C14EC"/>
    <w:rsid w:val="002C1920"/>
    <w:rsid w:val="002C1DD6"/>
    <w:rsid w:val="002C7BC6"/>
    <w:rsid w:val="002D015F"/>
    <w:rsid w:val="002D1494"/>
    <w:rsid w:val="002D3332"/>
    <w:rsid w:val="002D5517"/>
    <w:rsid w:val="002D55AB"/>
    <w:rsid w:val="002D5841"/>
    <w:rsid w:val="002D66A9"/>
    <w:rsid w:val="002E1EED"/>
    <w:rsid w:val="002E2E10"/>
    <w:rsid w:val="002E39FA"/>
    <w:rsid w:val="002E4126"/>
    <w:rsid w:val="002E6111"/>
    <w:rsid w:val="002E7105"/>
    <w:rsid w:val="002F3E00"/>
    <w:rsid w:val="002F4C82"/>
    <w:rsid w:val="002F58B8"/>
    <w:rsid w:val="002F5A38"/>
    <w:rsid w:val="002F67FC"/>
    <w:rsid w:val="002F6F7A"/>
    <w:rsid w:val="002F73DB"/>
    <w:rsid w:val="00301FE8"/>
    <w:rsid w:val="00302F1B"/>
    <w:rsid w:val="00303946"/>
    <w:rsid w:val="0030481A"/>
    <w:rsid w:val="003062F1"/>
    <w:rsid w:val="00311BAD"/>
    <w:rsid w:val="00312445"/>
    <w:rsid w:val="00313270"/>
    <w:rsid w:val="00320525"/>
    <w:rsid w:val="00321A5F"/>
    <w:rsid w:val="003223B2"/>
    <w:rsid w:val="0032255E"/>
    <w:rsid w:val="00324176"/>
    <w:rsid w:val="003246FF"/>
    <w:rsid w:val="00326631"/>
    <w:rsid w:val="00330715"/>
    <w:rsid w:val="00330EE3"/>
    <w:rsid w:val="003322F8"/>
    <w:rsid w:val="00332E6B"/>
    <w:rsid w:val="00335C47"/>
    <w:rsid w:val="003365AB"/>
    <w:rsid w:val="00336DA3"/>
    <w:rsid w:val="0033776B"/>
    <w:rsid w:val="00337897"/>
    <w:rsid w:val="00341CCE"/>
    <w:rsid w:val="00342127"/>
    <w:rsid w:val="003425AD"/>
    <w:rsid w:val="0034267B"/>
    <w:rsid w:val="00343621"/>
    <w:rsid w:val="00343AB3"/>
    <w:rsid w:val="00345C05"/>
    <w:rsid w:val="00347295"/>
    <w:rsid w:val="0035030E"/>
    <w:rsid w:val="00350411"/>
    <w:rsid w:val="00352BBE"/>
    <w:rsid w:val="00354AAB"/>
    <w:rsid w:val="00355E4B"/>
    <w:rsid w:val="00356188"/>
    <w:rsid w:val="003561CD"/>
    <w:rsid w:val="00356465"/>
    <w:rsid w:val="00360DEF"/>
    <w:rsid w:val="00360E97"/>
    <w:rsid w:val="003614AA"/>
    <w:rsid w:val="0036306B"/>
    <w:rsid w:val="00364568"/>
    <w:rsid w:val="00365F3B"/>
    <w:rsid w:val="00367A1D"/>
    <w:rsid w:val="003709B1"/>
    <w:rsid w:val="003710A7"/>
    <w:rsid w:val="003713A2"/>
    <w:rsid w:val="00375234"/>
    <w:rsid w:val="00375E95"/>
    <w:rsid w:val="0038300C"/>
    <w:rsid w:val="0038546C"/>
    <w:rsid w:val="003879BE"/>
    <w:rsid w:val="00387C68"/>
    <w:rsid w:val="0039123C"/>
    <w:rsid w:val="0039469D"/>
    <w:rsid w:val="00394CEA"/>
    <w:rsid w:val="00394CF1"/>
    <w:rsid w:val="00395684"/>
    <w:rsid w:val="00396860"/>
    <w:rsid w:val="003A00D8"/>
    <w:rsid w:val="003A344F"/>
    <w:rsid w:val="003A7A8B"/>
    <w:rsid w:val="003B62ED"/>
    <w:rsid w:val="003B6F12"/>
    <w:rsid w:val="003B7EF1"/>
    <w:rsid w:val="003C0B67"/>
    <w:rsid w:val="003C0E90"/>
    <w:rsid w:val="003C1280"/>
    <w:rsid w:val="003C1AB0"/>
    <w:rsid w:val="003C1AFA"/>
    <w:rsid w:val="003C3CED"/>
    <w:rsid w:val="003C4EC0"/>
    <w:rsid w:val="003C7839"/>
    <w:rsid w:val="003D0569"/>
    <w:rsid w:val="003D0C4B"/>
    <w:rsid w:val="003D0CFB"/>
    <w:rsid w:val="003D11DF"/>
    <w:rsid w:val="003D5B25"/>
    <w:rsid w:val="003D5C86"/>
    <w:rsid w:val="003E2F6F"/>
    <w:rsid w:val="003E4250"/>
    <w:rsid w:val="003E42CB"/>
    <w:rsid w:val="003E50F5"/>
    <w:rsid w:val="003E5333"/>
    <w:rsid w:val="003F1968"/>
    <w:rsid w:val="003F332A"/>
    <w:rsid w:val="003F5A28"/>
    <w:rsid w:val="00402AC8"/>
    <w:rsid w:val="004038DB"/>
    <w:rsid w:val="00405201"/>
    <w:rsid w:val="00406E88"/>
    <w:rsid w:val="0040740B"/>
    <w:rsid w:val="00410067"/>
    <w:rsid w:val="0041072C"/>
    <w:rsid w:val="0041349B"/>
    <w:rsid w:val="0041492A"/>
    <w:rsid w:val="004175F4"/>
    <w:rsid w:val="0041764C"/>
    <w:rsid w:val="00417BAF"/>
    <w:rsid w:val="00417CF0"/>
    <w:rsid w:val="0042136A"/>
    <w:rsid w:val="00423BDC"/>
    <w:rsid w:val="00423F8C"/>
    <w:rsid w:val="00427957"/>
    <w:rsid w:val="004301C9"/>
    <w:rsid w:val="00430D3E"/>
    <w:rsid w:val="0043297D"/>
    <w:rsid w:val="004334F3"/>
    <w:rsid w:val="00433716"/>
    <w:rsid w:val="00435D21"/>
    <w:rsid w:val="00437113"/>
    <w:rsid w:val="004378FE"/>
    <w:rsid w:val="00442EB8"/>
    <w:rsid w:val="00450475"/>
    <w:rsid w:val="00453950"/>
    <w:rsid w:val="00453F09"/>
    <w:rsid w:val="004546CB"/>
    <w:rsid w:val="00454AF3"/>
    <w:rsid w:val="00454BFF"/>
    <w:rsid w:val="004560F8"/>
    <w:rsid w:val="0045652E"/>
    <w:rsid w:val="00456620"/>
    <w:rsid w:val="00456AD7"/>
    <w:rsid w:val="00457372"/>
    <w:rsid w:val="004573C3"/>
    <w:rsid w:val="0046032C"/>
    <w:rsid w:val="00460CEE"/>
    <w:rsid w:val="00464FA2"/>
    <w:rsid w:val="004654CB"/>
    <w:rsid w:val="00466250"/>
    <w:rsid w:val="00466A10"/>
    <w:rsid w:val="0046747C"/>
    <w:rsid w:val="00470357"/>
    <w:rsid w:val="00470BCD"/>
    <w:rsid w:val="00471220"/>
    <w:rsid w:val="0047E608"/>
    <w:rsid w:val="00480B65"/>
    <w:rsid w:val="004812FF"/>
    <w:rsid w:val="00481ED3"/>
    <w:rsid w:val="00483627"/>
    <w:rsid w:val="004837CC"/>
    <w:rsid w:val="00485FED"/>
    <w:rsid w:val="00486C21"/>
    <w:rsid w:val="00486DDF"/>
    <w:rsid w:val="00490088"/>
    <w:rsid w:val="00490F3F"/>
    <w:rsid w:val="00491F8A"/>
    <w:rsid w:val="004922F4"/>
    <w:rsid w:val="00493AC6"/>
    <w:rsid w:val="00493AF1"/>
    <w:rsid w:val="0049413A"/>
    <w:rsid w:val="00494422"/>
    <w:rsid w:val="004945A5"/>
    <w:rsid w:val="00494CC0"/>
    <w:rsid w:val="00495F07"/>
    <w:rsid w:val="004A0172"/>
    <w:rsid w:val="004A1CDF"/>
    <w:rsid w:val="004A2052"/>
    <w:rsid w:val="004A21EF"/>
    <w:rsid w:val="004A286C"/>
    <w:rsid w:val="004A40C1"/>
    <w:rsid w:val="004A44AD"/>
    <w:rsid w:val="004A44F2"/>
    <w:rsid w:val="004B0EFC"/>
    <w:rsid w:val="004B2263"/>
    <w:rsid w:val="004B35C3"/>
    <w:rsid w:val="004B4257"/>
    <w:rsid w:val="004B442A"/>
    <w:rsid w:val="004B4A04"/>
    <w:rsid w:val="004B761F"/>
    <w:rsid w:val="004C0E6E"/>
    <w:rsid w:val="004C12FB"/>
    <w:rsid w:val="004C2871"/>
    <w:rsid w:val="004C3276"/>
    <w:rsid w:val="004C5370"/>
    <w:rsid w:val="004C5F21"/>
    <w:rsid w:val="004C5F2B"/>
    <w:rsid w:val="004C6219"/>
    <w:rsid w:val="004C7923"/>
    <w:rsid w:val="004D62AA"/>
    <w:rsid w:val="004D761C"/>
    <w:rsid w:val="004E2C11"/>
    <w:rsid w:val="004E348C"/>
    <w:rsid w:val="004E3C3F"/>
    <w:rsid w:val="004F0344"/>
    <w:rsid w:val="004F178C"/>
    <w:rsid w:val="004F2ADC"/>
    <w:rsid w:val="004F55F3"/>
    <w:rsid w:val="004F58E9"/>
    <w:rsid w:val="004F7793"/>
    <w:rsid w:val="00501698"/>
    <w:rsid w:val="00501E15"/>
    <w:rsid w:val="00502E1C"/>
    <w:rsid w:val="0050473D"/>
    <w:rsid w:val="00505E5C"/>
    <w:rsid w:val="00507EA9"/>
    <w:rsid w:val="00511841"/>
    <w:rsid w:val="00511C9B"/>
    <w:rsid w:val="00512427"/>
    <w:rsid w:val="005129C5"/>
    <w:rsid w:val="0051531B"/>
    <w:rsid w:val="00515BFD"/>
    <w:rsid w:val="0051784D"/>
    <w:rsid w:val="00517A55"/>
    <w:rsid w:val="00517E23"/>
    <w:rsid w:val="00522452"/>
    <w:rsid w:val="00523B18"/>
    <w:rsid w:val="00527074"/>
    <w:rsid w:val="00527226"/>
    <w:rsid w:val="00527229"/>
    <w:rsid w:val="00531318"/>
    <w:rsid w:val="00532061"/>
    <w:rsid w:val="005322B1"/>
    <w:rsid w:val="005337B0"/>
    <w:rsid w:val="00533E57"/>
    <w:rsid w:val="00534E94"/>
    <w:rsid w:val="005361FC"/>
    <w:rsid w:val="00537B5D"/>
    <w:rsid w:val="00537D1E"/>
    <w:rsid w:val="00540805"/>
    <w:rsid w:val="00540957"/>
    <w:rsid w:val="00540AA4"/>
    <w:rsid w:val="00542EDB"/>
    <w:rsid w:val="005436A5"/>
    <w:rsid w:val="00545C47"/>
    <w:rsid w:val="00546F5E"/>
    <w:rsid w:val="0055029A"/>
    <w:rsid w:val="0055063B"/>
    <w:rsid w:val="00552F31"/>
    <w:rsid w:val="00553214"/>
    <w:rsid w:val="00553715"/>
    <w:rsid w:val="00553C72"/>
    <w:rsid w:val="00555F51"/>
    <w:rsid w:val="005568B8"/>
    <w:rsid w:val="00556FF7"/>
    <w:rsid w:val="005573BC"/>
    <w:rsid w:val="005612EB"/>
    <w:rsid w:val="005619A4"/>
    <w:rsid w:val="00563BB8"/>
    <w:rsid w:val="005658B9"/>
    <w:rsid w:val="00565E7A"/>
    <w:rsid w:val="00567C1D"/>
    <w:rsid w:val="005715E4"/>
    <w:rsid w:val="005717E3"/>
    <w:rsid w:val="00573354"/>
    <w:rsid w:val="00573FF3"/>
    <w:rsid w:val="005764A0"/>
    <w:rsid w:val="00576BFB"/>
    <w:rsid w:val="005778CB"/>
    <w:rsid w:val="00581F74"/>
    <w:rsid w:val="00582513"/>
    <w:rsid w:val="00584117"/>
    <w:rsid w:val="0058438D"/>
    <w:rsid w:val="005850F3"/>
    <w:rsid w:val="00587B01"/>
    <w:rsid w:val="005923AB"/>
    <w:rsid w:val="00592F8F"/>
    <w:rsid w:val="0059433F"/>
    <w:rsid w:val="00596D37"/>
    <w:rsid w:val="0059776B"/>
    <w:rsid w:val="005A0709"/>
    <w:rsid w:val="005A1461"/>
    <w:rsid w:val="005A17BB"/>
    <w:rsid w:val="005A38B9"/>
    <w:rsid w:val="005A411B"/>
    <w:rsid w:val="005A44B2"/>
    <w:rsid w:val="005A642F"/>
    <w:rsid w:val="005A7027"/>
    <w:rsid w:val="005A79FE"/>
    <w:rsid w:val="005B0DBA"/>
    <w:rsid w:val="005B1F97"/>
    <w:rsid w:val="005B61FE"/>
    <w:rsid w:val="005B7CDB"/>
    <w:rsid w:val="005C1C5E"/>
    <w:rsid w:val="005C2D3D"/>
    <w:rsid w:val="005C41A8"/>
    <w:rsid w:val="005C59BB"/>
    <w:rsid w:val="005D0634"/>
    <w:rsid w:val="005D1533"/>
    <w:rsid w:val="005D19C6"/>
    <w:rsid w:val="005D459D"/>
    <w:rsid w:val="005D5124"/>
    <w:rsid w:val="005D6665"/>
    <w:rsid w:val="005E30BE"/>
    <w:rsid w:val="005E37A8"/>
    <w:rsid w:val="005E6797"/>
    <w:rsid w:val="005E744F"/>
    <w:rsid w:val="005F23FE"/>
    <w:rsid w:val="005F2AF9"/>
    <w:rsid w:val="005F2EBB"/>
    <w:rsid w:val="005F3254"/>
    <w:rsid w:val="005F3C94"/>
    <w:rsid w:val="005F3E40"/>
    <w:rsid w:val="005F5210"/>
    <w:rsid w:val="005F5238"/>
    <w:rsid w:val="005F5E01"/>
    <w:rsid w:val="0060124E"/>
    <w:rsid w:val="00601971"/>
    <w:rsid w:val="00603DFD"/>
    <w:rsid w:val="00605FB6"/>
    <w:rsid w:val="006062E1"/>
    <w:rsid w:val="0060701F"/>
    <w:rsid w:val="00610C23"/>
    <w:rsid w:val="00610F17"/>
    <w:rsid w:val="00611031"/>
    <w:rsid w:val="00613697"/>
    <w:rsid w:val="00615320"/>
    <w:rsid w:val="006170D0"/>
    <w:rsid w:val="006172BC"/>
    <w:rsid w:val="00617ECA"/>
    <w:rsid w:val="0062038D"/>
    <w:rsid w:val="00623476"/>
    <w:rsid w:val="00624B74"/>
    <w:rsid w:val="00624E59"/>
    <w:rsid w:val="00625DD3"/>
    <w:rsid w:val="00627C7A"/>
    <w:rsid w:val="00627E75"/>
    <w:rsid w:val="00630247"/>
    <w:rsid w:val="00631C4D"/>
    <w:rsid w:val="00631D3B"/>
    <w:rsid w:val="00632EC2"/>
    <w:rsid w:val="0063325C"/>
    <w:rsid w:val="006339F8"/>
    <w:rsid w:val="006345A6"/>
    <w:rsid w:val="00637677"/>
    <w:rsid w:val="00637BB7"/>
    <w:rsid w:val="006406E4"/>
    <w:rsid w:val="00641A0B"/>
    <w:rsid w:val="00642299"/>
    <w:rsid w:val="006435DE"/>
    <w:rsid w:val="00643BB9"/>
    <w:rsid w:val="00644238"/>
    <w:rsid w:val="00645F2F"/>
    <w:rsid w:val="00646FF6"/>
    <w:rsid w:val="00650259"/>
    <w:rsid w:val="0065083F"/>
    <w:rsid w:val="00650E4B"/>
    <w:rsid w:val="00651205"/>
    <w:rsid w:val="0065246C"/>
    <w:rsid w:val="0065265B"/>
    <w:rsid w:val="00653FBC"/>
    <w:rsid w:val="00654187"/>
    <w:rsid w:val="00654C73"/>
    <w:rsid w:val="00655053"/>
    <w:rsid w:val="00655F83"/>
    <w:rsid w:val="00657741"/>
    <w:rsid w:val="0066084D"/>
    <w:rsid w:val="00661F49"/>
    <w:rsid w:val="00663DE5"/>
    <w:rsid w:val="00665680"/>
    <w:rsid w:val="00666051"/>
    <w:rsid w:val="006674BA"/>
    <w:rsid w:val="006703AD"/>
    <w:rsid w:val="0067293F"/>
    <w:rsid w:val="00675187"/>
    <w:rsid w:val="00677492"/>
    <w:rsid w:val="00681415"/>
    <w:rsid w:val="00681FEE"/>
    <w:rsid w:val="00683870"/>
    <w:rsid w:val="00686220"/>
    <w:rsid w:val="00687D4B"/>
    <w:rsid w:val="00693552"/>
    <w:rsid w:val="0069748A"/>
    <w:rsid w:val="00697658"/>
    <w:rsid w:val="006A314A"/>
    <w:rsid w:val="006A461A"/>
    <w:rsid w:val="006A4AD9"/>
    <w:rsid w:val="006A639D"/>
    <w:rsid w:val="006A658E"/>
    <w:rsid w:val="006A6DEA"/>
    <w:rsid w:val="006A6F18"/>
    <w:rsid w:val="006A75D4"/>
    <w:rsid w:val="006B19A3"/>
    <w:rsid w:val="006B3838"/>
    <w:rsid w:val="006B4620"/>
    <w:rsid w:val="006B470C"/>
    <w:rsid w:val="006B5173"/>
    <w:rsid w:val="006B5F7D"/>
    <w:rsid w:val="006B6014"/>
    <w:rsid w:val="006C18AC"/>
    <w:rsid w:val="006C1A44"/>
    <w:rsid w:val="006C1F22"/>
    <w:rsid w:val="006C1F2B"/>
    <w:rsid w:val="006C45DD"/>
    <w:rsid w:val="006C7676"/>
    <w:rsid w:val="006C7ED3"/>
    <w:rsid w:val="006D1773"/>
    <w:rsid w:val="006D199B"/>
    <w:rsid w:val="006D39FF"/>
    <w:rsid w:val="006D3A67"/>
    <w:rsid w:val="006D4352"/>
    <w:rsid w:val="006E04D4"/>
    <w:rsid w:val="006E053F"/>
    <w:rsid w:val="006E0650"/>
    <w:rsid w:val="006E1724"/>
    <w:rsid w:val="006E2461"/>
    <w:rsid w:val="006E2971"/>
    <w:rsid w:val="006E3662"/>
    <w:rsid w:val="006E51BD"/>
    <w:rsid w:val="006E5EE5"/>
    <w:rsid w:val="006E6871"/>
    <w:rsid w:val="006E7AA7"/>
    <w:rsid w:val="006F2268"/>
    <w:rsid w:val="006F24ED"/>
    <w:rsid w:val="006F71FF"/>
    <w:rsid w:val="006F7E99"/>
    <w:rsid w:val="007006F1"/>
    <w:rsid w:val="007012BD"/>
    <w:rsid w:val="007016E0"/>
    <w:rsid w:val="00703121"/>
    <w:rsid w:val="00703265"/>
    <w:rsid w:val="00703D3E"/>
    <w:rsid w:val="00704EA6"/>
    <w:rsid w:val="0070750C"/>
    <w:rsid w:val="007104E3"/>
    <w:rsid w:val="00711AD3"/>
    <w:rsid w:val="00712C63"/>
    <w:rsid w:val="007159F4"/>
    <w:rsid w:val="007211E0"/>
    <w:rsid w:val="00722545"/>
    <w:rsid w:val="00722994"/>
    <w:rsid w:val="00722B7C"/>
    <w:rsid w:val="007259DD"/>
    <w:rsid w:val="007276DC"/>
    <w:rsid w:val="00727903"/>
    <w:rsid w:val="00727EB5"/>
    <w:rsid w:val="0073386A"/>
    <w:rsid w:val="00734C51"/>
    <w:rsid w:val="0073639C"/>
    <w:rsid w:val="00737AEA"/>
    <w:rsid w:val="00743945"/>
    <w:rsid w:val="00743DCB"/>
    <w:rsid w:val="007444EF"/>
    <w:rsid w:val="00745332"/>
    <w:rsid w:val="00750A1A"/>
    <w:rsid w:val="00752F70"/>
    <w:rsid w:val="007534B2"/>
    <w:rsid w:val="007538BD"/>
    <w:rsid w:val="00755A52"/>
    <w:rsid w:val="00755F6A"/>
    <w:rsid w:val="00755FE3"/>
    <w:rsid w:val="0075633E"/>
    <w:rsid w:val="00756BB4"/>
    <w:rsid w:val="00757C31"/>
    <w:rsid w:val="007627B2"/>
    <w:rsid w:val="00762979"/>
    <w:rsid w:val="00763E46"/>
    <w:rsid w:val="00764687"/>
    <w:rsid w:val="00766480"/>
    <w:rsid w:val="00767F43"/>
    <w:rsid w:val="0077057C"/>
    <w:rsid w:val="00771618"/>
    <w:rsid w:val="00771E62"/>
    <w:rsid w:val="0077214D"/>
    <w:rsid w:val="007757BD"/>
    <w:rsid w:val="00781126"/>
    <w:rsid w:val="00781D03"/>
    <w:rsid w:val="00781E60"/>
    <w:rsid w:val="00782582"/>
    <w:rsid w:val="00782C21"/>
    <w:rsid w:val="007852CB"/>
    <w:rsid w:val="00785398"/>
    <w:rsid w:val="007856B0"/>
    <w:rsid w:val="00785B2C"/>
    <w:rsid w:val="007866FC"/>
    <w:rsid w:val="00790B08"/>
    <w:rsid w:val="00791156"/>
    <w:rsid w:val="00792D66"/>
    <w:rsid w:val="00794A7B"/>
    <w:rsid w:val="00794D28"/>
    <w:rsid w:val="0079535F"/>
    <w:rsid w:val="007959D3"/>
    <w:rsid w:val="00796290"/>
    <w:rsid w:val="0079695B"/>
    <w:rsid w:val="00797056"/>
    <w:rsid w:val="007A385B"/>
    <w:rsid w:val="007A3C0A"/>
    <w:rsid w:val="007B24D0"/>
    <w:rsid w:val="007B3120"/>
    <w:rsid w:val="007B4AC1"/>
    <w:rsid w:val="007B4BF4"/>
    <w:rsid w:val="007B5346"/>
    <w:rsid w:val="007B712C"/>
    <w:rsid w:val="007C07A2"/>
    <w:rsid w:val="007C2FC4"/>
    <w:rsid w:val="007C35BE"/>
    <w:rsid w:val="007C39B6"/>
    <w:rsid w:val="007C688B"/>
    <w:rsid w:val="007D1E81"/>
    <w:rsid w:val="007D4C73"/>
    <w:rsid w:val="007D5BAB"/>
    <w:rsid w:val="007D6CB1"/>
    <w:rsid w:val="007E72F1"/>
    <w:rsid w:val="007F0AB1"/>
    <w:rsid w:val="007F0DB6"/>
    <w:rsid w:val="007F16B3"/>
    <w:rsid w:val="007F1861"/>
    <w:rsid w:val="007F29D8"/>
    <w:rsid w:val="007F2C7E"/>
    <w:rsid w:val="007F39BF"/>
    <w:rsid w:val="007F409A"/>
    <w:rsid w:val="007F4463"/>
    <w:rsid w:val="007F46F4"/>
    <w:rsid w:val="007F4F27"/>
    <w:rsid w:val="00800FD8"/>
    <w:rsid w:val="00802C57"/>
    <w:rsid w:val="00803145"/>
    <w:rsid w:val="00803FA7"/>
    <w:rsid w:val="00804195"/>
    <w:rsid w:val="00806BF1"/>
    <w:rsid w:val="00806EBD"/>
    <w:rsid w:val="008101BD"/>
    <w:rsid w:val="00810204"/>
    <w:rsid w:val="00810C4D"/>
    <w:rsid w:val="008156C8"/>
    <w:rsid w:val="00817101"/>
    <w:rsid w:val="00822121"/>
    <w:rsid w:val="00823A87"/>
    <w:rsid w:val="00824797"/>
    <w:rsid w:val="00824867"/>
    <w:rsid w:val="0082564A"/>
    <w:rsid w:val="00825EF0"/>
    <w:rsid w:val="00827551"/>
    <w:rsid w:val="00827B49"/>
    <w:rsid w:val="0083032A"/>
    <w:rsid w:val="008322F7"/>
    <w:rsid w:val="0083280A"/>
    <w:rsid w:val="008339E6"/>
    <w:rsid w:val="0083493D"/>
    <w:rsid w:val="00834A1C"/>
    <w:rsid w:val="008368F2"/>
    <w:rsid w:val="00837A9A"/>
    <w:rsid w:val="0084140A"/>
    <w:rsid w:val="00841673"/>
    <w:rsid w:val="00842842"/>
    <w:rsid w:val="0084325E"/>
    <w:rsid w:val="0084363B"/>
    <w:rsid w:val="00844234"/>
    <w:rsid w:val="00844810"/>
    <w:rsid w:val="00845333"/>
    <w:rsid w:val="00845DBB"/>
    <w:rsid w:val="008466C8"/>
    <w:rsid w:val="00846FF1"/>
    <w:rsid w:val="008470DA"/>
    <w:rsid w:val="00851FF2"/>
    <w:rsid w:val="0085437B"/>
    <w:rsid w:val="0085560C"/>
    <w:rsid w:val="008579F0"/>
    <w:rsid w:val="00861791"/>
    <w:rsid w:val="00862B5A"/>
    <w:rsid w:val="0086552E"/>
    <w:rsid w:val="008665F2"/>
    <w:rsid w:val="0087052D"/>
    <w:rsid w:val="008710F2"/>
    <w:rsid w:val="008716BF"/>
    <w:rsid w:val="00871CFC"/>
    <w:rsid w:val="00874251"/>
    <w:rsid w:val="00874BCE"/>
    <w:rsid w:val="00875644"/>
    <w:rsid w:val="00876C61"/>
    <w:rsid w:val="00876F02"/>
    <w:rsid w:val="00877123"/>
    <w:rsid w:val="008806D8"/>
    <w:rsid w:val="00881F85"/>
    <w:rsid w:val="00883582"/>
    <w:rsid w:val="00883B21"/>
    <w:rsid w:val="00883D5A"/>
    <w:rsid w:val="00884F84"/>
    <w:rsid w:val="00886684"/>
    <w:rsid w:val="00886B85"/>
    <w:rsid w:val="00887B9C"/>
    <w:rsid w:val="0089170B"/>
    <w:rsid w:val="008919D7"/>
    <w:rsid w:val="00891AD5"/>
    <w:rsid w:val="00892D56"/>
    <w:rsid w:val="00893197"/>
    <w:rsid w:val="00895CE0"/>
    <w:rsid w:val="00895D26"/>
    <w:rsid w:val="00897B1D"/>
    <w:rsid w:val="008A0DBF"/>
    <w:rsid w:val="008A2ED0"/>
    <w:rsid w:val="008A36DC"/>
    <w:rsid w:val="008A4441"/>
    <w:rsid w:val="008A5BD3"/>
    <w:rsid w:val="008A77C1"/>
    <w:rsid w:val="008A7DC9"/>
    <w:rsid w:val="008B219D"/>
    <w:rsid w:val="008B22DF"/>
    <w:rsid w:val="008B3494"/>
    <w:rsid w:val="008B7CD5"/>
    <w:rsid w:val="008C1D84"/>
    <w:rsid w:val="008C2D9D"/>
    <w:rsid w:val="008C4315"/>
    <w:rsid w:val="008C56D1"/>
    <w:rsid w:val="008C5FCB"/>
    <w:rsid w:val="008D0CE1"/>
    <w:rsid w:val="008D1AD1"/>
    <w:rsid w:val="008D2704"/>
    <w:rsid w:val="008D58F1"/>
    <w:rsid w:val="008E0609"/>
    <w:rsid w:val="008E1A40"/>
    <w:rsid w:val="008E5769"/>
    <w:rsid w:val="008E7020"/>
    <w:rsid w:val="008E71E3"/>
    <w:rsid w:val="008E7B04"/>
    <w:rsid w:val="008F04BD"/>
    <w:rsid w:val="008F0EA1"/>
    <w:rsid w:val="008F2022"/>
    <w:rsid w:val="008F6C48"/>
    <w:rsid w:val="00901049"/>
    <w:rsid w:val="00902912"/>
    <w:rsid w:val="00903FA7"/>
    <w:rsid w:val="00903FD0"/>
    <w:rsid w:val="0090566A"/>
    <w:rsid w:val="00905DA9"/>
    <w:rsid w:val="009134E9"/>
    <w:rsid w:val="00913D45"/>
    <w:rsid w:val="00914A7D"/>
    <w:rsid w:val="0091607B"/>
    <w:rsid w:val="009203FB"/>
    <w:rsid w:val="00922767"/>
    <w:rsid w:val="00922902"/>
    <w:rsid w:val="0092297F"/>
    <w:rsid w:val="00923D77"/>
    <w:rsid w:val="00924166"/>
    <w:rsid w:val="0092460F"/>
    <w:rsid w:val="00926DED"/>
    <w:rsid w:val="00927867"/>
    <w:rsid w:val="009279B1"/>
    <w:rsid w:val="009305D4"/>
    <w:rsid w:val="009306FC"/>
    <w:rsid w:val="0093097F"/>
    <w:rsid w:val="00933625"/>
    <w:rsid w:val="00934AA1"/>
    <w:rsid w:val="009359FD"/>
    <w:rsid w:val="009370D2"/>
    <w:rsid w:val="0094077B"/>
    <w:rsid w:val="00940BFD"/>
    <w:rsid w:val="0094108F"/>
    <w:rsid w:val="00942AA3"/>
    <w:rsid w:val="00947E20"/>
    <w:rsid w:val="0095003C"/>
    <w:rsid w:val="0095106B"/>
    <w:rsid w:val="00951BDB"/>
    <w:rsid w:val="00954B65"/>
    <w:rsid w:val="00955520"/>
    <w:rsid w:val="00955EE6"/>
    <w:rsid w:val="00955F65"/>
    <w:rsid w:val="009609D1"/>
    <w:rsid w:val="0096463A"/>
    <w:rsid w:val="00965576"/>
    <w:rsid w:val="009655EA"/>
    <w:rsid w:val="009661BA"/>
    <w:rsid w:val="00966A5A"/>
    <w:rsid w:val="0096799B"/>
    <w:rsid w:val="00967A18"/>
    <w:rsid w:val="00971C18"/>
    <w:rsid w:val="0097405A"/>
    <w:rsid w:val="0097674C"/>
    <w:rsid w:val="009801CA"/>
    <w:rsid w:val="009802B4"/>
    <w:rsid w:val="009808A8"/>
    <w:rsid w:val="00981CF4"/>
    <w:rsid w:val="009837BF"/>
    <w:rsid w:val="0098495D"/>
    <w:rsid w:val="00984AEC"/>
    <w:rsid w:val="00984BAE"/>
    <w:rsid w:val="00984E73"/>
    <w:rsid w:val="00985485"/>
    <w:rsid w:val="00986098"/>
    <w:rsid w:val="009875CB"/>
    <w:rsid w:val="009878BB"/>
    <w:rsid w:val="00987DC6"/>
    <w:rsid w:val="00990371"/>
    <w:rsid w:val="00990F32"/>
    <w:rsid w:val="0099253C"/>
    <w:rsid w:val="0099281C"/>
    <w:rsid w:val="00993E91"/>
    <w:rsid w:val="009942FB"/>
    <w:rsid w:val="00995119"/>
    <w:rsid w:val="009956B1"/>
    <w:rsid w:val="009A0F0C"/>
    <w:rsid w:val="009A2C0B"/>
    <w:rsid w:val="009A3755"/>
    <w:rsid w:val="009A5ACF"/>
    <w:rsid w:val="009A5D93"/>
    <w:rsid w:val="009A6CBE"/>
    <w:rsid w:val="009B04E4"/>
    <w:rsid w:val="009B11E2"/>
    <w:rsid w:val="009B1DFB"/>
    <w:rsid w:val="009B2B30"/>
    <w:rsid w:val="009B3370"/>
    <w:rsid w:val="009B384F"/>
    <w:rsid w:val="009B5C04"/>
    <w:rsid w:val="009B7323"/>
    <w:rsid w:val="009C10D7"/>
    <w:rsid w:val="009C1223"/>
    <w:rsid w:val="009C179D"/>
    <w:rsid w:val="009C1BB1"/>
    <w:rsid w:val="009C367C"/>
    <w:rsid w:val="009C40A7"/>
    <w:rsid w:val="009C5050"/>
    <w:rsid w:val="009C53A8"/>
    <w:rsid w:val="009D0F75"/>
    <w:rsid w:val="009D10F4"/>
    <w:rsid w:val="009D205C"/>
    <w:rsid w:val="009D3FFE"/>
    <w:rsid w:val="009D47BB"/>
    <w:rsid w:val="009D65E9"/>
    <w:rsid w:val="009D6F76"/>
    <w:rsid w:val="009D77E6"/>
    <w:rsid w:val="009D7A01"/>
    <w:rsid w:val="009E269B"/>
    <w:rsid w:val="009E2EBC"/>
    <w:rsid w:val="009E3DE1"/>
    <w:rsid w:val="009E5DCF"/>
    <w:rsid w:val="009E65C8"/>
    <w:rsid w:val="009F1F27"/>
    <w:rsid w:val="009F265F"/>
    <w:rsid w:val="009F305F"/>
    <w:rsid w:val="009F347B"/>
    <w:rsid w:val="009F6273"/>
    <w:rsid w:val="009F6F1E"/>
    <w:rsid w:val="009F745A"/>
    <w:rsid w:val="009F7F21"/>
    <w:rsid w:val="00A00BBB"/>
    <w:rsid w:val="00A01729"/>
    <w:rsid w:val="00A01CC2"/>
    <w:rsid w:val="00A04B12"/>
    <w:rsid w:val="00A06FFB"/>
    <w:rsid w:val="00A078B9"/>
    <w:rsid w:val="00A11DC5"/>
    <w:rsid w:val="00A1614E"/>
    <w:rsid w:val="00A20C90"/>
    <w:rsid w:val="00A21362"/>
    <w:rsid w:val="00A222FB"/>
    <w:rsid w:val="00A22B5A"/>
    <w:rsid w:val="00A233AD"/>
    <w:rsid w:val="00A2478A"/>
    <w:rsid w:val="00A24EAA"/>
    <w:rsid w:val="00A24FEC"/>
    <w:rsid w:val="00A25CC9"/>
    <w:rsid w:val="00A266D0"/>
    <w:rsid w:val="00A304C6"/>
    <w:rsid w:val="00A30849"/>
    <w:rsid w:val="00A31E37"/>
    <w:rsid w:val="00A33FC0"/>
    <w:rsid w:val="00A35480"/>
    <w:rsid w:val="00A360EA"/>
    <w:rsid w:val="00A36E9D"/>
    <w:rsid w:val="00A373B7"/>
    <w:rsid w:val="00A4161C"/>
    <w:rsid w:val="00A420C0"/>
    <w:rsid w:val="00A427F4"/>
    <w:rsid w:val="00A42FDB"/>
    <w:rsid w:val="00A44C8C"/>
    <w:rsid w:val="00A50349"/>
    <w:rsid w:val="00A5037C"/>
    <w:rsid w:val="00A50E68"/>
    <w:rsid w:val="00A51A64"/>
    <w:rsid w:val="00A544B3"/>
    <w:rsid w:val="00A55E57"/>
    <w:rsid w:val="00A568AA"/>
    <w:rsid w:val="00A56D0C"/>
    <w:rsid w:val="00A60099"/>
    <w:rsid w:val="00A6256C"/>
    <w:rsid w:val="00A62C16"/>
    <w:rsid w:val="00A64681"/>
    <w:rsid w:val="00A72338"/>
    <w:rsid w:val="00A7294E"/>
    <w:rsid w:val="00A73ED4"/>
    <w:rsid w:val="00A741B2"/>
    <w:rsid w:val="00A74468"/>
    <w:rsid w:val="00A74838"/>
    <w:rsid w:val="00A755C6"/>
    <w:rsid w:val="00A77198"/>
    <w:rsid w:val="00A80206"/>
    <w:rsid w:val="00A819A6"/>
    <w:rsid w:val="00A84C91"/>
    <w:rsid w:val="00A8531C"/>
    <w:rsid w:val="00A85376"/>
    <w:rsid w:val="00A925E7"/>
    <w:rsid w:val="00A95E6A"/>
    <w:rsid w:val="00A96A3D"/>
    <w:rsid w:val="00AA000F"/>
    <w:rsid w:val="00AA0ABB"/>
    <w:rsid w:val="00AA2481"/>
    <w:rsid w:val="00AA3046"/>
    <w:rsid w:val="00AA4FDA"/>
    <w:rsid w:val="00AA5363"/>
    <w:rsid w:val="00AA5433"/>
    <w:rsid w:val="00AB1A06"/>
    <w:rsid w:val="00AB5D43"/>
    <w:rsid w:val="00AC08C7"/>
    <w:rsid w:val="00AC2EB1"/>
    <w:rsid w:val="00AC348B"/>
    <w:rsid w:val="00AC413F"/>
    <w:rsid w:val="00AC4655"/>
    <w:rsid w:val="00AC4A3E"/>
    <w:rsid w:val="00AC4AD1"/>
    <w:rsid w:val="00AC521C"/>
    <w:rsid w:val="00AC5AE3"/>
    <w:rsid w:val="00AC5BB9"/>
    <w:rsid w:val="00AC631F"/>
    <w:rsid w:val="00AC6D49"/>
    <w:rsid w:val="00AC7CBF"/>
    <w:rsid w:val="00AD1093"/>
    <w:rsid w:val="00AD1D97"/>
    <w:rsid w:val="00AD236D"/>
    <w:rsid w:val="00AD2866"/>
    <w:rsid w:val="00AD288D"/>
    <w:rsid w:val="00AD2E6A"/>
    <w:rsid w:val="00AD32D6"/>
    <w:rsid w:val="00AD4BFA"/>
    <w:rsid w:val="00AD4F56"/>
    <w:rsid w:val="00AD7ACF"/>
    <w:rsid w:val="00AE2C29"/>
    <w:rsid w:val="00AE465C"/>
    <w:rsid w:val="00AE4FB2"/>
    <w:rsid w:val="00AE509F"/>
    <w:rsid w:val="00AE6BE2"/>
    <w:rsid w:val="00AE717A"/>
    <w:rsid w:val="00AF245C"/>
    <w:rsid w:val="00AF3E2D"/>
    <w:rsid w:val="00AF63C8"/>
    <w:rsid w:val="00AF67CF"/>
    <w:rsid w:val="00AF7D58"/>
    <w:rsid w:val="00B01DC5"/>
    <w:rsid w:val="00B036FB"/>
    <w:rsid w:val="00B037CD"/>
    <w:rsid w:val="00B06389"/>
    <w:rsid w:val="00B109DF"/>
    <w:rsid w:val="00B12570"/>
    <w:rsid w:val="00B12A56"/>
    <w:rsid w:val="00B130CA"/>
    <w:rsid w:val="00B13D12"/>
    <w:rsid w:val="00B14814"/>
    <w:rsid w:val="00B14B9E"/>
    <w:rsid w:val="00B14DFC"/>
    <w:rsid w:val="00B14F20"/>
    <w:rsid w:val="00B17ED1"/>
    <w:rsid w:val="00B205C2"/>
    <w:rsid w:val="00B22108"/>
    <w:rsid w:val="00B2292C"/>
    <w:rsid w:val="00B22D3A"/>
    <w:rsid w:val="00B23F7F"/>
    <w:rsid w:val="00B246F1"/>
    <w:rsid w:val="00B26098"/>
    <w:rsid w:val="00B317BF"/>
    <w:rsid w:val="00B31F80"/>
    <w:rsid w:val="00B323B9"/>
    <w:rsid w:val="00B32530"/>
    <w:rsid w:val="00B32D83"/>
    <w:rsid w:val="00B343E3"/>
    <w:rsid w:val="00B358D8"/>
    <w:rsid w:val="00B35AB7"/>
    <w:rsid w:val="00B35B12"/>
    <w:rsid w:val="00B3635F"/>
    <w:rsid w:val="00B40A32"/>
    <w:rsid w:val="00B415C3"/>
    <w:rsid w:val="00B420B2"/>
    <w:rsid w:val="00B43F64"/>
    <w:rsid w:val="00B45414"/>
    <w:rsid w:val="00B50D4C"/>
    <w:rsid w:val="00B51DC4"/>
    <w:rsid w:val="00B52085"/>
    <w:rsid w:val="00B53B99"/>
    <w:rsid w:val="00B549D8"/>
    <w:rsid w:val="00B55E60"/>
    <w:rsid w:val="00B60084"/>
    <w:rsid w:val="00B61B0B"/>
    <w:rsid w:val="00B62152"/>
    <w:rsid w:val="00B6518E"/>
    <w:rsid w:val="00B6663C"/>
    <w:rsid w:val="00B6680D"/>
    <w:rsid w:val="00B70465"/>
    <w:rsid w:val="00B7112A"/>
    <w:rsid w:val="00B71530"/>
    <w:rsid w:val="00B73FCF"/>
    <w:rsid w:val="00B7505F"/>
    <w:rsid w:val="00B77069"/>
    <w:rsid w:val="00B834FD"/>
    <w:rsid w:val="00B85B72"/>
    <w:rsid w:val="00B90790"/>
    <w:rsid w:val="00B90844"/>
    <w:rsid w:val="00B91C09"/>
    <w:rsid w:val="00B91C52"/>
    <w:rsid w:val="00B9305E"/>
    <w:rsid w:val="00B93592"/>
    <w:rsid w:val="00B9374F"/>
    <w:rsid w:val="00B93A99"/>
    <w:rsid w:val="00B94A64"/>
    <w:rsid w:val="00BA23DB"/>
    <w:rsid w:val="00BA4B1C"/>
    <w:rsid w:val="00BA6228"/>
    <w:rsid w:val="00BB09F9"/>
    <w:rsid w:val="00BB2F88"/>
    <w:rsid w:val="00BB4707"/>
    <w:rsid w:val="00BC05BC"/>
    <w:rsid w:val="00BC08DA"/>
    <w:rsid w:val="00BC240D"/>
    <w:rsid w:val="00BC4CDA"/>
    <w:rsid w:val="00BC5493"/>
    <w:rsid w:val="00BC59FE"/>
    <w:rsid w:val="00BC5EA5"/>
    <w:rsid w:val="00BC7810"/>
    <w:rsid w:val="00BD0A00"/>
    <w:rsid w:val="00BD0F13"/>
    <w:rsid w:val="00BD1283"/>
    <w:rsid w:val="00BD1F34"/>
    <w:rsid w:val="00BD22C1"/>
    <w:rsid w:val="00BD2302"/>
    <w:rsid w:val="00BD405E"/>
    <w:rsid w:val="00BD5054"/>
    <w:rsid w:val="00BE0CF5"/>
    <w:rsid w:val="00BE2451"/>
    <w:rsid w:val="00BE30DD"/>
    <w:rsid w:val="00BE6B31"/>
    <w:rsid w:val="00BF38AF"/>
    <w:rsid w:val="00BF56F1"/>
    <w:rsid w:val="00BF615C"/>
    <w:rsid w:val="00BF6ECB"/>
    <w:rsid w:val="00BF7650"/>
    <w:rsid w:val="00BF7D99"/>
    <w:rsid w:val="00C0114F"/>
    <w:rsid w:val="00C0361C"/>
    <w:rsid w:val="00C03981"/>
    <w:rsid w:val="00C04240"/>
    <w:rsid w:val="00C05A5C"/>
    <w:rsid w:val="00C12499"/>
    <w:rsid w:val="00C203AF"/>
    <w:rsid w:val="00C206A2"/>
    <w:rsid w:val="00C20AEA"/>
    <w:rsid w:val="00C22B78"/>
    <w:rsid w:val="00C24329"/>
    <w:rsid w:val="00C26441"/>
    <w:rsid w:val="00C30B25"/>
    <w:rsid w:val="00C31172"/>
    <w:rsid w:val="00C31709"/>
    <w:rsid w:val="00C33A4C"/>
    <w:rsid w:val="00C3537E"/>
    <w:rsid w:val="00C359C3"/>
    <w:rsid w:val="00C35E49"/>
    <w:rsid w:val="00C36464"/>
    <w:rsid w:val="00C409BE"/>
    <w:rsid w:val="00C40F27"/>
    <w:rsid w:val="00C41A39"/>
    <w:rsid w:val="00C41B9B"/>
    <w:rsid w:val="00C42595"/>
    <w:rsid w:val="00C427E6"/>
    <w:rsid w:val="00C453E5"/>
    <w:rsid w:val="00C45BC1"/>
    <w:rsid w:val="00C47759"/>
    <w:rsid w:val="00C5154D"/>
    <w:rsid w:val="00C55614"/>
    <w:rsid w:val="00C55AAA"/>
    <w:rsid w:val="00C57BAE"/>
    <w:rsid w:val="00C60B85"/>
    <w:rsid w:val="00C63DE0"/>
    <w:rsid w:val="00C64BCA"/>
    <w:rsid w:val="00C64D77"/>
    <w:rsid w:val="00C65127"/>
    <w:rsid w:val="00C6782E"/>
    <w:rsid w:val="00C70EAB"/>
    <w:rsid w:val="00C7136D"/>
    <w:rsid w:val="00C71D0D"/>
    <w:rsid w:val="00C752B8"/>
    <w:rsid w:val="00C76F04"/>
    <w:rsid w:val="00C77F55"/>
    <w:rsid w:val="00C81732"/>
    <w:rsid w:val="00C81A6C"/>
    <w:rsid w:val="00C83BD8"/>
    <w:rsid w:val="00C84325"/>
    <w:rsid w:val="00C84B30"/>
    <w:rsid w:val="00C853BA"/>
    <w:rsid w:val="00C85F53"/>
    <w:rsid w:val="00C8750B"/>
    <w:rsid w:val="00C97343"/>
    <w:rsid w:val="00C97E35"/>
    <w:rsid w:val="00C97FB4"/>
    <w:rsid w:val="00CA24C7"/>
    <w:rsid w:val="00CA43C0"/>
    <w:rsid w:val="00CA4D82"/>
    <w:rsid w:val="00CB147F"/>
    <w:rsid w:val="00CB1AE5"/>
    <w:rsid w:val="00CB25CE"/>
    <w:rsid w:val="00CB46F3"/>
    <w:rsid w:val="00CB5298"/>
    <w:rsid w:val="00CB52AE"/>
    <w:rsid w:val="00CB5361"/>
    <w:rsid w:val="00CB6BF9"/>
    <w:rsid w:val="00CB71DE"/>
    <w:rsid w:val="00CC0EF3"/>
    <w:rsid w:val="00CC1928"/>
    <w:rsid w:val="00CC4416"/>
    <w:rsid w:val="00CC5A9A"/>
    <w:rsid w:val="00CC6A64"/>
    <w:rsid w:val="00CCDBB8"/>
    <w:rsid w:val="00CD2AE8"/>
    <w:rsid w:val="00CD2F4E"/>
    <w:rsid w:val="00CD58AC"/>
    <w:rsid w:val="00CD5E3D"/>
    <w:rsid w:val="00CD6EF4"/>
    <w:rsid w:val="00CD74FC"/>
    <w:rsid w:val="00CD7632"/>
    <w:rsid w:val="00CE077E"/>
    <w:rsid w:val="00CE10F2"/>
    <w:rsid w:val="00CE1D12"/>
    <w:rsid w:val="00CE23FC"/>
    <w:rsid w:val="00CE3E69"/>
    <w:rsid w:val="00CE48C5"/>
    <w:rsid w:val="00CE5B23"/>
    <w:rsid w:val="00CE7616"/>
    <w:rsid w:val="00CF06AC"/>
    <w:rsid w:val="00CF096B"/>
    <w:rsid w:val="00CF25DB"/>
    <w:rsid w:val="00CF3A9C"/>
    <w:rsid w:val="00CF3B71"/>
    <w:rsid w:val="00CF4376"/>
    <w:rsid w:val="00CF4545"/>
    <w:rsid w:val="00CF4AE9"/>
    <w:rsid w:val="00CF522B"/>
    <w:rsid w:val="00D00526"/>
    <w:rsid w:val="00D00FF8"/>
    <w:rsid w:val="00D01F8D"/>
    <w:rsid w:val="00D06BE6"/>
    <w:rsid w:val="00D075E3"/>
    <w:rsid w:val="00D091EC"/>
    <w:rsid w:val="00D1004B"/>
    <w:rsid w:val="00D106FB"/>
    <w:rsid w:val="00D113F9"/>
    <w:rsid w:val="00D117C8"/>
    <w:rsid w:val="00D118F6"/>
    <w:rsid w:val="00D14914"/>
    <w:rsid w:val="00D162FB"/>
    <w:rsid w:val="00D16765"/>
    <w:rsid w:val="00D17298"/>
    <w:rsid w:val="00D21467"/>
    <w:rsid w:val="00D2148B"/>
    <w:rsid w:val="00D2222A"/>
    <w:rsid w:val="00D22FF4"/>
    <w:rsid w:val="00D25409"/>
    <w:rsid w:val="00D30015"/>
    <w:rsid w:val="00D3172F"/>
    <w:rsid w:val="00D31A66"/>
    <w:rsid w:val="00D34180"/>
    <w:rsid w:val="00D344E7"/>
    <w:rsid w:val="00D4377B"/>
    <w:rsid w:val="00D44668"/>
    <w:rsid w:val="00D44C8A"/>
    <w:rsid w:val="00D465E5"/>
    <w:rsid w:val="00D47830"/>
    <w:rsid w:val="00D47A4F"/>
    <w:rsid w:val="00D47AA0"/>
    <w:rsid w:val="00D51C0A"/>
    <w:rsid w:val="00D51E89"/>
    <w:rsid w:val="00D56C41"/>
    <w:rsid w:val="00D608F1"/>
    <w:rsid w:val="00D61D3E"/>
    <w:rsid w:val="00D61F13"/>
    <w:rsid w:val="00D63683"/>
    <w:rsid w:val="00D63B33"/>
    <w:rsid w:val="00D64BC0"/>
    <w:rsid w:val="00D651DC"/>
    <w:rsid w:val="00D66814"/>
    <w:rsid w:val="00D66EEE"/>
    <w:rsid w:val="00D66FB0"/>
    <w:rsid w:val="00D7036E"/>
    <w:rsid w:val="00D7254A"/>
    <w:rsid w:val="00D741F9"/>
    <w:rsid w:val="00D744E6"/>
    <w:rsid w:val="00D778BD"/>
    <w:rsid w:val="00D8079F"/>
    <w:rsid w:val="00D80FD0"/>
    <w:rsid w:val="00D811C7"/>
    <w:rsid w:val="00D8213D"/>
    <w:rsid w:val="00D832E8"/>
    <w:rsid w:val="00D8345C"/>
    <w:rsid w:val="00D83DFA"/>
    <w:rsid w:val="00D917B3"/>
    <w:rsid w:val="00D91C73"/>
    <w:rsid w:val="00D92188"/>
    <w:rsid w:val="00D94BA3"/>
    <w:rsid w:val="00D95FA7"/>
    <w:rsid w:val="00D97AE7"/>
    <w:rsid w:val="00DA27E1"/>
    <w:rsid w:val="00DA5366"/>
    <w:rsid w:val="00DA57EA"/>
    <w:rsid w:val="00DA7438"/>
    <w:rsid w:val="00DA7D36"/>
    <w:rsid w:val="00DB0338"/>
    <w:rsid w:val="00DB0F7E"/>
    <w:rsid w:val="00DB3C55"/>
    <w:rsid w:val="00DB75E8"/>
    <w:rsid w:val="00DB7D86"/>
    <w:rsid w:val="00DB7F0E"/>
    <w:rsid w:val="00DC090D"/>
    <w:rsid w:val="00DC10AC"/>
    <w:rsid w:val="00DC11EF"/>
    <w:rsid w:val="00DC1627"/>
    <w:rsid w:val="00DC2638"/>
    <w:rsid w:val="00DC3FA9"/>
    <w:rsid w:val="00DC48C3"/>
    <w:rsid w:val="00DC6443"/>
    <w:rsid w:val="00DC70E7"/>
    <w:rsid w:val="00DC7458"/>
    <w:rsid w:val="00DD021C"/>
    <w:rsid w:val="00DD17DD"/>
    <w:rsid w:val="00DD27E4"/>
    <w:rsid w:val="00DD300F"/>
    <w:rsid w:val="00DD37CB"/>
    <w:rsid w:val="00DD39D1"/>
    <w:rsid w:val="00DD6E8D"/>
    <w:rsid w:val="00DD7165"/>
    <w:rsid w:val="00DD730A"/>
    <w:rsid w:val="00DD7755"/>
    <w:rsid w:val="00DE2DEB"/>
    <w:rsid w:val="00DE33D7"/>
    <w:rsid w:val="00DE3533"/>
    <w:rsid w:val="00DE3734"/>
    <w:rsid w:val="00DE413A"/>
    <w:rsid w:val="00DE6642"/>
    <w:rsid w:val="00DE739B"/>
    <w:rsid w:val="00DF220B"/>
    <w:rsid w:val="00DF2286"/>
    <w:rsid w:val="00DF29AC"/>
    <w:rsid w:val="00DF2CFA"/>
    <w:rsid w:val="00DF2EAC"/>
    <w:rsid w:val="00DF35EF"/>
    <w:rsid w:val="00DF35F0"/>
    <w:rsid w:val="00DF5DBF"/>
    <w:rsid w:val="00DF704D"/>
    <w:rsid w:val="00DF74FD"/>
    <w:rsid w:val="00E01AB6"/>
    <w:rsid w:val="00E01AEA"/>
    <w:rsid w:val="00E01D1B"/>
    <w:rsid w:val="00E024E7"/>
    <w:rsid w:val="00E0267A"/>
    <w:rsid w:val="00E03283"/>
    <w:rsid w:val="00E03DBE"/>
    <w:rsid w:val="00E05C6A"/>
    <w:rsid w:val="00E05EC5"/>
    <w:rsid w:val="00E07820"/>
    <w:rsid w:val="00E1018F"/>
    <w:rsid w:val="00E10B55"/>
    <w:rsid w:val="00E12229"/>
    <w:rsid w:val="00E1460F"/>
    <w:rsid w:val="00E16767"/>
    <w:rsid w:val="00E16785"/>
    <w:rsid w:val="00E210C8"/>
    <w:rsid w:val="00E22CFE"/>
    <w:rsid w:val="00E23800"/>
    <w:rsid w:val="00E24010"/>
    <w:rsid w:val="00E24849"/>
    <w:rsid w:val="00E24BF7"/>
    <w:rsid w:val="00E25B06"/>
    <w:rsid w:val="00E26BED"/>
    <w:rsid w:val="00E30511"/>
    <w:rsid w:val="00E31116"/>
    <w:rsid w:val="00E311D5"/>
    <w:rsid w:val="00E32541"/>
    <w:rsid w:val="00E32776"/>
    <w:rsid w:val="00E32A73"/>
    <w:rsid w:val="00E341D8"/>
    <w:rsid w:val="00E3542E"/>
    <w:rsid w:val="00E35623"/>
    <w:rsid w:val="00E40BB6"/>
    <w:rsid w:val="00E4463C"/>
    <w:rsid w:val="00E45054"/>
    <w:rsid w:val="00E46055"/>
    <w:rsid w:val="00E46270"/>
    <w:rsid w:val="00E543AB"/>
    <w:rsid w:val="00E556B0"/>
    <w:rsid w:val="00E55C09"/>
    <w:rsid w:val="00E55FCC"/>
    <w:rsid w:val="00E564FD"/>
    <w:rsid w:val="00E57FCE"/>
    <w:rsid w:val="00E60398"/>
    <w:rsid w:val="00E6150A"/>
    <w:rsid w:val="00E621BD"/>
    <w:rsid w:val="00E628D9"/>
    <w:rsid w:val="00E629FA"/>
    <w:rsid w:val="00E6385C"/>
    <w:rsid w:val="00E6670D"/>
    <w:rsid w:val="00E66BB3"/>
    <w:rsid w:val="00E70363"/>
    <w:rsid w:val="00E71002"/>
    <w:rsid w:val="00E71B8A"/>
    <w:rsid w:val="00E72BC1"/>
    <w:rsid w:val="00E73596"/>
    <w:rsid w:val="00E7740F"/>
    <w:rsid w:val="00E77F27"/>
    <w:rsid w:val="00E828AB"/>
    <w:rsid w:val="00E82D06"/>
    <w:rsid w:val="00E8337C"/>
    <w:rsid w:val="00E83D17"/>
    <w:rsid w:val="00E83D1C"/>
    <w:rsid w:val="00E87DEA"/>
    <w:rsid w:val="00E9091A"/>
    <w:rsid w:val="00E94AF8"/>
    <w:rsid w:val="00E95CDF"/>
    <w:rsid w:val="00E9659F"/>
    <w:rsid w:val="00E96AD3"/>
    <w:rsid w:val="00EA32E3"/>
    <w:rsid w:val="00EA443C"/>
    <w:rsid w:val="00EA45A7"/>
    <w:rsid w:val="00EA56D9"/>
    <w:rsid w:val="00EA7152"/>
    <w:rsid w:val="00EB13C4"/>
    <w:rsid w:val="00EB29B5"/>
    <w:rsid w:val="00EB4D4B"/>
    <w:rsid w:val="00EB57F1"/>
    <w:rsid w:val="00EC0A16"/>
    <w:rsid w:val="00EC11B8"/>
    <w:rsid w:val="00EC3208"/>
    <w:rsid w:val="00EC445F"/>
    <w:rsid w:val="00EC58DB"/>
    <w:rsid w:val="00EC794C"/>
    <w:rsid w:val="00ED1E2D"/>
    <w:rsid w:val="00ED26E8"/>
    <w:rsid w:val="00ED2F60"/>
    <w:rsid w:val="00ED38BB"/>
    <w:rsid w:val="00ED5EEE"/>
    <w:rsid w:val="00ED6455"/>
    <w:rsid w:val="00EE0CDD"/>
    <w:rsid w:val="00EE3339"/>
    <w:rsid w:val="00EE3CC0"/>
    <w:rsid w:val="00EE4547"/>
    <w:rsid w:val="00EE4EA8"/>
    <w:rsid w:val="00EE608C"/>
    <w:rsid w:val="00EE661C"/>
    <w:rsid w:val="00EE70E9"/>
    <w:rsid w:val="00EE7171"/>
    <w:rsid w:val="00EE75AB"/>
    <w:rsid w:val="00EF2749"/>
    <w:rsid w:val="00EF3FA0"/>
    <w:rsid w:val="00EF71A2"/>
    <w:rsid w:val="00F017A7"/>
    <w:rsid w:val="00F0234E"/>
    <w:rsid w:val="00F050E9"/>
    <w:rsid w:val="00F06500"/>
    <w:rsid w:val="00F07FF6"/>
    <w:rsid w:val="00F109DD"/>
    <w:rsid w:val="00F1129A"/>
    <w:rsid w:val="00F122CA"/>
    <w:rsid w:val="00F124A3"/>
    <w:rsid w:val="00F133A0"/>
    <w:rsid w:val="00F141DB"/>
    <w:rsid w:val="00F167FF"/>
    <w:rsid w:val="00F16BE4"/>
    <w:rsid w:val="00F20491"/>
    <w:rsid w:val="00F259BA"/>
    <w:rsid w:val="00F26558"/>
    <w:rsid w:val="00F27F46"/>
    <w:rsid w:val="00F32C11"/>
    <w:rsid w:val="00F352BA"/>
    <w:rsid w:val="00F354CA"/>
    <w:rsid w:val="00F36E60"/>
    <w:rsid w:val="00F40455"/>
    <w:rsid w:val="00F4291C"/>
    <w:rsid w:val="00F45DE1"/>
    <w:rsid w:val="00F4621C"/>
    <w:rsid w:val="00F4774F"/>
    <w:rsid w:val="00F47C8C"/>
    <w:rsid w:val="00F50D44"/>
    <w:rsid w:val="00F5184C"/>
    <w:rsid w:val="00F52C1B"/>
    <w:rsid w:val="00F534A7"/>
    <w:rsid w:val="00F5592D"/>
    <w:rsid w:val="00F55A9A"/>
    <w:rsid w:val="00F565E4"/>
    <w:rsid w:val="00F567B9"/>
    <w:rsid w:val="00F56B01"/>
    <w:rsid w:val="00F57728"/>
    <w:rsid w:val="00F60106"/>
    <w:rsid w:val="00F60D4A"/>
    <w:rsid w:val="00F61573"/>
    <w:rsid w:val="00F62E0E"/>
    <w:rsid w:val="00F64753"/>
    <w:rsid w:val="00F67F7E"/>
    <w:rsid w:val="00F7071A"/>
    <w:rsid w:val="00F725EA"/>
    <w:rsid w:val="00F73F99"/>
    <w:rsid w:val="00F74B67"/>
    <w:rsid w:val="00F773E2"/>
    <w:rsid w:val="00F7798D"/>
    <w:rsid w:val="00F77C02"/>
    <w:rsid w:val="00F80209"/>
    <w:rsid w:val="00F834B6"/>
    <w:rsid w:val="00F86F4E"/>
    <w:rsid w:val="00F926CE"/>
    <w:rsid w:val="00F942FF"/>
    <w:rsid w:val="00F9553F"/>
    <w:rsid w:val="00FA179F"/>
    <w:rsid w:val="00FA2030"/>
    <w:rsid w:val="00FA2FC4"/>
    <w:rsid w:val="00FA3C16"/>
    <w:rsid w:val="00FA404A"/>
    <w:rsid w:val="00FA487A"/>
    <w:rsid w:val="00FB0635"/>
    <w:rsid w:val="00FB0FF7"/>
    <w:rsid w:val="00FB201D"/>
    <w:rsid w:val="00FB39A7"/>
    <w:rsid w:val="00FB5006"/>
    <w:rsid w:val="00FB62FB"/>
    <w:rsid w:val="00FB749F"/>
    <w:rsid w:val="00FB7AFE"/>
    <w:rsid w:val="00FC054E"/>
    <w:rsid w:val="00FC0724"/>
    <w:rsid w:val="00FC0938"/>
    <w:rsid w:val="00FC41F8"/>
    <w:rsid w:val="00FC5BB3"/>
    <w:rsid w:val="00FC5DD3"/>
    <w:rsid w:val="00FC60A3"/>
    <w:rsid w:val="00FC64FD"/>
    <w:rsid w:val="00FC7441"/>
    <w:rsid w:val="00FD04A0"/>
    <w:rsid w:val="00FD1161"/>
    <w:rsid w:val="00FD24EF"/>
    <w:rsid w:val="00FD2D7B"/>
    <w:rsid w:val="00FD334F"/>
    <w:rsid w:val="00FD4077"/>
    <w:rsid w:val="00FD4CB1"/>
    <w:rsid w:val="00FD5022"/>
    <w:rsid w:val="00FD6EA3"/>
    <w:rsid w:val="00FE0782"/>
    <w:rsid w:val="00FE2852"/>
    <w:rsid w:val="00FE35C5"/>
    <w:rsid w:val="00FE7056"/>
    <w:rsid w:val="00FF11AC"/>
    <w:rsid w:val="00FF405C"/>
    <w:rsid w:val="00FF4C1E"/>
    <w:rsid w:val="00FF6037"/>
    <w:rsid w:val="00FF6B42"/>
    <w:rsid w:val="00FF70CE"/>
    <w:rsid w:val="00FF77B0"/>
    <w:rsid w:val="0103EAA0"/>
    <w:rsid w:val="011C08A6"/>
    <w:rsid w:val="013550EF"/>
    <w:rsid w:val="0149F03B"/>
    <w:rsid w:val="01755960"/>
    <w:rsid w:val="01F74601"/>
    <w:rsid w:val="0227903A"/>
    <w:rsid w:val="022EE523"/>
    <w:rsid w:val="02551FFE"/>
    <w:rsid w:val="0297AE75"/>
    <w:rsid w:val="029B59A8"/>
    <w:rsid w:val="02B0ECF0"/>
    <w:rsid w:val="02FF770F"/>
    <w:rsid w:val="0325E495"/>
    <w:rsid w:val="0360FE17"/>
    <w:rsid w:val="03F0F05F"/>
    <w:rsid w:val="03FFF228"/>
    <w:rsid w:val="042FA197"/>
    <w:rsid w:val="04414AD5"/>
    <w:rsid w:val="04506BF9"/>
    <w:rsid w:val="04AAD168"/>
    <w:rsid w:val="04C434A4"/>
    <w:rsid w:val="04CFE540"/>
    <w:rsid w:val="04E3962B"/>
    <w:rsid w:val="051F293F"/>
    <w:rsid w:val="052C4E1E"/>
    <w:rsid w:val="05F14838"/>
    <w:rsid w:val="06390504"/>
    <w:rsid w:val="0662B289"/>
    <w:rsid w:val="0677F417"/>
    <w:rsid w:val="0696E044"/>
    <w:rsid w:val="0739AB35"/>
    <w:rsid w:val="076AF4AD"/>
    <w:rsid w:val="07E9C52D"/>
    <w:rsid w:val="07FC81E7"/>
    <w:rsid w:val="083A6217"/>
    <w:rsid w:val="08500AC3"/>
    <w:rsid w:val="086510DA"/>
    <w:rsid w:val="08B6F978"/>
    <w:rsid w:val="08C2AC09"/>
    <w:rsid w:val="08F48632"/>
    <w:rsid w:val="09992368"/>
    <w:rsid w:val="09BA77AE"/>
    <w:rsid w:val="09FF522F"/>
    <w:rsid w:val="0A026360"/>
    <w:rsid w:val="0A0EBBA1"/>
    <w:rsid w:val="0A425CDC"/>
    <w:rsid w:val="0A439197"/>
    <w:rsid w:val="0A56887C"/>
    <w:rsid w:val="0A9BF3C2"/>
    <w:rsid w:val="0AC502CD"/>
    <w:rsid w:val="0AD7AA24"/>
    <w:rsid w:val="0B72BCB1"/>
    <w:rsid w:val="0B8F3DBC"/>
    <w:rsid w:val="0B947A98"/>
    <w:rsid w:val="0B98B890"/>
    <w:rsid w:val="0BBBFFBD"/>
    <w:rsid w:val="0C2D2D68"/>
    <w:rsid w:val="0C2F2D5F"/>
    <w:rsid w:val="0C428137"/>
    <w:rsid w:val="0C4A83AA"/>
    <w:rsid w:val="0C5DCFBE"/>
    <w:rsid w:val="0C7AD9AA"/>
    <w:rsid w:val="0CBFBD17"/>
    <w:rsid w:val="0D1D31F8"/>
    <w:rsid w:val="0D41B2A8"/>
    <w:rsid w:val="0D45844B"/>
    <w:rsid w:val="0D68A6AD"/>
    <w:rsid w:val="0D6E37F5"/>
    <w:rsid w:val="0D7C6DD4"/>
    <w:rsid w:val="0DC7C5BC"/>
    <w:rsid w:val="0DDE5198"/>
    <w:rsid w:val="0DFCF481"/>
    <w:rsid w:val="0E289EAA"/>
    <w:rsid w:val="0E7A75EC"/>
    <w:rsid w:val="0EE508B1"/>
    <w:rsid w:val="0F4E4BC2"/>
    <w:rsid w:val="0F7E78CD"/>
    <w:rsid w:val="101B556E"/>
    <w:rsid w:val="1033048E"/>
    <w:rsid w:val="103D3319"/>
    <w:rsid w:val="104D275B"/>
    <w:rsid w:val="10559DDE"/>
    <w:rsid w:val="10D1C4AB"/>
    <w:rsid w:val="10DF5F8A"/>
    <w:rsid w:val="11704088"/>
    <w:rsid w:val="11F9DA33"/>
    <w:rsid w:val="12362C8C"/>
    <w:rsid w:val="1281BC03"/>
    <w:rsid w:val="129381F0"/>
    <w:rsid w:val="129C6EEC"/>
    <w:rsid w:val="12DF3034"/>
    <w:rsid w:val="1318E1FD"/>
    <w:rsid w:val="13313EF0"/>
    <w:rsid w:val="1386D655"/>
    <w:rsid w:val="1386F262"/>
    <w:rsid w:val="1387B3BD"/>
    <w:rsid w:val="1389AB06"/>
    <w:rsid w:val="13C71568"/>
    <w:rsid w:val="140F90BC"/>
    <w:rsid w:val="1413AD93"/>
    <w:rsid w:val="146BD38B"/>
    <w:rsid w:val="148D6A5C"/>
    <w:rsid w:val="14BC4351"/>
    <w:rsid w:val="14C05866"/>
    <w:rsid w:val="14EE4379"/>
    <w:rsid w:val="1531AA37"/>
    <w:rsid w:val="1551B4C4"/>
    <w:rsid w:val="15B670A5"/>
    <w:rsid w:val="15E932A9"/>
    <w:rsid w:val="16116CFC"/>
    <w:rsid w:val="16180714"/>
    <w:rsid w:val="1660456E"/>
    <w:rsid w:val="1686EB92"/>
    <w:rsid w:val="16AF42F2"/>
    <w:rsid w:val="16CE33AD"/>
    <w:rsid w:val="16E8A220"/>
    <w:rsid w:val="16FFAAC5"/>
    <w:rsid w:val="170BB773"/>
    <w:rsid w:val="172ED716"/>
    <w:rsid w:val="178CDC85"/>
    <w:rsid w:val="17A29A9C"/>
    <w:rsid w:val="17C40E5A"/>
    <w:rsid w:val="17D4DAC4"/>
    <w:rsid w:val="184421B1"/>
    <w:rsid w:val="18DB1C81"/>
    <w:rsid w:val="198517C2"/>
    <w:rsid w:val="198C3038"/>
    <w:rsid w:val="19C6E7FA"/>
    <w:rsid w:val="1A0A0A1E"/>
    <w:rsid w:val="1A13CA34"/>
    <w:rsid w:val="1A1BF49D"/>
    <w:rsid w:val="1A280055"/>
    <w:rsid w:val="1A352497"/>
    <w:rsid w:val="1A6D723F"/>
    <w:rsid w:val="1ACA728F"/>
    <w:rsid w:val="1ACDE407"/>
    <w:rsid w:val="1AE85F4E"/>
    <w:rsid w:val="1AF78BB5"/>
    <w:rsid w:val="1B5530A6"/>
    <w:rsid w:val="1BA47B27"/>
    <w:rsid w:val="1BDB1AE6"/>
    <w:rsid w:val="1C26F752"/>
    <w:rsid w:val="1C47A3FF"/>
    <w:rsid w:val="1C646276"/>
    <w:rsid w:val="1CE242FB"/>
    <w:rsid w:val="1CF6779A"/>
    <w:rsid w:val="1D4B3CB4"/>
    <w:rsid w:val="1D655077"/>
    <w:rsid w:val="1D71506F"/>
    <w:rsid w:val="1DA48915"/>
    <w:rsid w:val="1DD61F8D"/>
    <w:rsid w:val="1E3C016A"/>
    <w:rsid w:val="1E5F5120"/>
    <w:rsid w:val="1EB827CC"/>
    <w:rsid w:val="1EC452E4"/>
    <w:rsid w:val="1F02F688"/>
    <w:rsid w:val="1F2E8A85"/>
    <w:rsid w:val="1F4E84A9"/>
    <w:rsid w:val="1F5B34EC"/>
    <w:rsid w:val="1F657CDF"/>
    <w:rsid w:val="1FC6C44C"/>
    <w:rsid w:val="1FCBBF45"/>
    <w:rsid w:val="20035732"/>
    <w:rsid w:val="20716286"/>
    <w:rsid w:val="20725D7A"/>
    <w:rsid w:val="20899BA2"/>
    <w:rsid w:val="20D45C5A"/>
    <w:rsid w:val="20E51C49"/>
    <w:rsid w:val="212F4AB0"/>
    <w:rsid w:val="21FA0AD3"/>
    <w:rsid w:val="222F1899"/>
    <w:rsid w:val="22672DBF"/>
    <w:rsid w:val="226E4DD2"/>
    <w:rsid w:val="229D05FB"/>
    <w:rsid w:val="22B22D49"/>
    <w:rsid w:val="22BD7D02"/>
    <w:rsid w:val="22EB84A8"/>
    <w:rsid w:val="22F7AB05"/>
    <w:rsid w:val="230C7E88"/>
    <w:rsid w:val="2355C6F0"/>
    <w:rsid w:val="237C95C3"/>
    <w:rsid w:val="238A8EB9"/>
    <w:rsid w:val="23937ADB"/>
    <w:rsid w:val="2394CDB1"/>
    <w:rsid w:val="2395D14D"/>
    <w:rsid w:val="23A146EC"/>
    <w:rsid w:val="23A2811B"/>
    <w:rsid w:val="23AA132D"/>
    <w:rsid w:val="23EAD172"/>
    <w:rsid w:val="241F8937"/>
    <w:rsid w:val="248497C4"/>
    <w:rsid w:val="24ACC213"/>
    <w:rsid w:val="2506AC59"/>
    <w:rsid w:val="2518C9EC"/>
    <w:rsid w:val="2537DEF6"/>
    <w:rsid w:val="25411B0B"/>
    <w:rsid w:val="258B15E4"/>
    <w:rsid w:val="25976030"/>
    <w:rsid w:val="2597DD2B"/>
    <w:rsid w:val="25CB982E"/>
    <w:rsid w:val="25DFF4E3"/>
    <w:rsid w:val="260F402C"/>
    <w:rsid w:val="2618E788"/>
    <w:rsid w:val="262F686C"/>
    <w:rsid w:val="264505AB"/>
    <w:rsid w:val="265C00EE"/>
    <w:rsid w:val="26CC815C"/>
    <w:rsid w:val="26D3AF57"/>
    <w:rsid w:val="26D6744A"/>
    <w:rsid w:val="273FBECC"/>
    <w:rsid w:val="276B7A94"/>
    <w:rsid w:val="27901AAD"/>
    <w:rsid w:val="2797413E"/>
    <w:rsid w:val="27C9666B"/>
    <w:rsid w:val="27C9F454"/>
    <w:rsid w:val="286B352A"/>
    <w:rsid w:val="2880EA0D"/>
    <w:rsid w:val="2919D27D"/>
    <w:rsid w:val="294454B5"/>
    <w:rsid w:val="294DE85E"/>
    <w:rsid w:val="29554B36"/>
    <w:rsid w:val="296EFA0C"/>
    <w:rsid w:val="297E06A9"/>
    <w:rsid w:val="298346F1"/>
    <w:rsid w:val="29D58606"/>
    <w:rsid w:val="29E735C1"/>
    <w:rsid w:val="2A130EEB"/>
    <w:rsid w:val="2A682888"/>
    <w:rsid w:val="2A8ECABB"/>
    <w:rsid w:val="2AD77622"/>
    <w:rsid w:val="2AD8DEB5"/>
    <w:rsid w:val="2B2CB114"/>
    <w:rsid w:val="2B317230"/>
    <w:rsid w:val="2B8F4B29"/>
    <w:rsid w:val="2BB48281"/>
    <w:rsid w:val="2BCFBA1C"/>
    <w:rsid w:val="2BD151E0"/>
    <w:rsid w:val="2BED6A40"/>
    <w:rsid w:val="2C22AD96"/>
    <w:rsid w:val="2C3C3C59"/>
    <w:rsid w:val="2C46F77C"/>
    <w:rsid w:val="2C61F839"/>
    <w:rsid w:val="2C7A49F6"/>
    <w:rsid w:val="2CBE186D"/>
    <w:rsid w:val="2D21E472"/>
    <w:rsid w:val="2D4AE21C"/>
    <w:rsid w:val="2D625079"/>
    <w:rsid w:val="2DE091FC"/>
    <w:rsid w:val="2DFD29E7"/>
    <w:rsid w:val="2E68DCE7"/>
    <w:rsid w:val="2EBAA6E4"/>
    <w:rsid w:val="2F579CA0"/>
    <w:rsid w:val="2F8533EB"/>
    <w:rsid w:val="2F8D53F4"/>
    <w:rsid w:val="2FE63FAB"/>
    <w:rsid w:val="2FE9E01A"/>
    <w:rsid w:val="3017078D"/>
    <w:rsid w:val="30337B32"/>
    <w:rsid w:val="30598534"/>
    <w:rsid w:val="30E20E86"/>
    <w:rsid w:val="30F9526D"/>
    <w:rsid w:val="3104368F"/>
    <w:rsid w:val="310F984C"/>
    <w:rsid w:val="314C526D"/>
    <w:rsid w:val="31789C68"/>
    <w:rsid w:val="318539F1"/>
    <w:rsid w:val="319C17DF"/>
    <w:rsid w:val="31A14B77"/>
    <w:rsid w:val="31CAA2C1"/>
    <w:rsid w:val="31EFBA2D"/>
    <w:rsid w:val="323CE282"/>
    <w:rsid w:val="327BD07E"/>
    <w:rsid w:val="32C86782"/>
    <w:rsid w:val="3302B490"/>
    <w:rsid w:val="330687D2"/>
    <w:rsid w:val="33273004"/>
    <w:rsid w:val="33401B69"/>
    <w:rsid w:val="33863B1B"/>
    <w:rsid w:val="33C990FD"/>
    <w:rsid w:val="33EE6E47"/>
    <w:rsid w:val="340B264A"/>
    <w:rsid w:val="3418A26B"/>
    <w:rsid w:val="342EB617"/>
    <w:rsid w:val="343DAA6E"/>
    <w:rsid w:val="3462A111"/>
    <w:rsid w:val="346F28EB"/>
    <w:rsid w:val="34C80999"/>
    <w:rsid w:val="353B1539"/>
    <w:rsid w:val="3555BF9A"/>
    <w:rsid w:val="356D26EE"/>
    <w:rsid w:val="3593CDBE"/>
    <w:rsid w:val="35B9ECCB"/>
    <w:rsid w:val="35CB83B6"/>
    <w:rsid w:val="35D8B222"/>
    <w:rsid w:val="3609AF60"/>
    <w:rsid w:val="360C2156"/>
    <w:rsid w:val="3617D60A"/>
    <w:rsid w:val="3644477A"/>
    <w:rsid w:val="36978F2B"/>
    <w:rsid w:val="36BE82B2"/>
    <w:rsid w:val="37635716"/>
    <w:rsid w:val="37B5CA36"/>
    <w:rsid w:val="37FBD2AD"/>
    <w:rsid w:val="3808DC12"/>
    <w:rsid w:val="3842B6CD"/>
    <w:rsid w:val="38745AFF"/>
    <w:rsid w:val="388D9108"/>
    <w:rsid w:val="3898CE6C"/>
    <w:rsid w:val="38E324D3"/>
    <w:rsid w:val="3934DB11"/>
    <w:rsid w:val="3937EABB"/>
    <w:rsid w:val="39534BEB"/>
    <w:rsid w:val="3956C15D"/>
    <w:rsid w:val="39751BE7"/>
    <w:rsid w:val="398BC9C1"/>
    <w:rsid w:val="39A73E49"/>
    <w:rsid w:val="39CA02B6"/>
    <w:rsid w:val="3A106F44"/>
    <w:rsid w:val="3A5E64F2"/>
    <w:rsid w:val="3A9AF7D8"/>
    <w:rsid w:val="3AE40925"/>
    <w:rsid w:val="3AF2E50F"/>
    <w:rsid w:val="3AF7ABEF"/>
    <w:rsid w:val="3B3195B2"/>
    <w:rsid w:val="3BB36ECC"/>
    <w:rsid w:val="3C8EB570"/>
    <w:rsid w:val="3D0FB721"/>
    <w:rsid w:val="3D536CEE"/>
    <w:rsid w:val="3D6CBDE4"/>
    <w:rsid w:val="3D6D90CF"/>
    <w:rsid w:val="3D921A42"/>
    <w:rsid w:val="3D926F10"/>
    <w:rsid w:val="3D9605B4"/>
    <w:rsid w:val="3DB93BDF"/>
    <w:rsid w:val="3E5E8226"/>
    <w:rsid w:val="3EB45DB1"/>
    <w:rsid w:val="3EB729DD"/>
    <w:rsid w:val="3EC25252"/>
    <w:rsid w:val="3EC85BD8"/>
    <w:rsid w:val="3F079BE6"/>
    <w:rsid w:val="3F89BF13"/>
    <w:rsid w:val="3F92E359"/>
    <w:rsid w:val="3F944E1E"/>
    <w:rsid w:val="3FA53E95"/>
    <w:rsid w:val="3FB1515D"/>
    <w:rsid w:val="3FBF979C"/>
    <w:rsid w:val="3FCCDB63"/>
    <w:rsid w:val="4050A8FA"/>
    <w:rsid w:val="40911F26"/>
    <w:rsid w:val="40A5718F"/>
    <w:rsid w:val="40CDA676"/>
    <w:rsid w:val="40FE9F1F"/>
    <w:rsid w:val="41B51E8E"/>
    <w:rsid w:val="41BA1842"/>
    <w:rsid w:val="41BB7FCA"/>
    <w:rsid w:val="41C8286C"/>
    <w:rsid w:val="421F9DB8"/>
    <w:rsid w:val="423DFCED"/>
    <w:rsid w:val="42A13228"/>
    <w:rsid w:val="42D57A10"/>
    <w:rsid w:val="42E4FA27"/>
    <w:rsid w:val="42E827D0"/>
    <w:rsid w:val="437726D0"/>
    <w:rsid w:val="44232BEF"/>
    <w:rsid w:val="445CAFD4"/>
    <w:rsid w:val="447E2593"/>
    <w:rsid w:val="450982F0"/>
    <w:rsid w:val="4547BDB2"/>
    <w:rsid w:val="4584AE7D"/>
    <w:rsid w:val="45CD8D45"/>
    <w:rsid w:val="46091D0A"/>
    <w:rsid w:val="46153C40"/>
    <w:rsid w:val="463B61A1"/>
    <w:rsid w:val="463D6423"/>
    <w:rsid w:val="464B5246"/>
    <w:rsid w:val="46DBABAB"/>
    <w:rsid w:val="46DBDAAC"/>
    <w:rsid w:val="46E35720"/>
    <w:rsid w:val="479CD658"/>
    <w:rsid w:val="47C2BC30"/>
    <w:rsid w:val="48441B81"/>
    <w:rsid w:val="487BAB2C"/>
    <w:rsid w:val="48AC5251"/>
    <w:rsid w:val="48CA09E6"/>
    <w:rsid w:val="49B9FE5B"/>
    <w:rsid w:val="4A177B8D"/>
    <w:rsid w:val="4A3DCC8A"/>
    <w:rsid w:val="4A46979F"/>
    <w:rsid w:val="4A545604"/>
    <w:rsid w:val="4A636921"/>
    <w:rsid w:val="4A7C61E3"/>
    <w:rsid w:val="4A8DBBF3"/>
    <w:rsid w:val="4AA3383C"/>
    <w:rsid w:val="4AD4771A"/>
    <w:rsid w:val="4B0B7C48"/>
    <w:rsid w:val="4B4939B3"/>
    <w:rsid w:val="4B89FF19"/>
    <w:rsid w:val="4B940BFA"/>
    <w:rsid w:val="4BABBFEC"/>
    <w:rsid w:val="4BCCF691"/>
    <w:rsid w:val="4C2C2B07"/>
    <w:rsid w:val="4C818E84"/>
    <w:rsid w:val="4C8BF88E"/>
    <w:rsid w:val="4CCEF563"/>
    <w:rsid w:val="4CF9E21C"/>
    <w:rsid w:val="4CFA7388"/>
    <w:rsid w:val="4D041C10"/>
    <w:rsid w:val="4D2E149E"/>
    <w:rsid w:val="4D505148"/>
    <w:rsid w:val="4D563734"/>
    <w:rsid w:val="4D65A5AF"/>
    <w:rsid w:val="4D668CF5"/>
    <w:rsid w:val="4D79F9B9"/>
    <w:rsid w:val="4D94337F"/>
    <w:rsid w:val="4DA04A89"/>
    <w:rsid w:val="4DAB6C90"/>
    <w:rsid w:val="4DD6AA2B"/>
    <w:rsid w:val="4DE47DB9"/>
    <w:rsid w:val="4DEA7F49"/>
    <w:rsid w:val="4E6EC7C4"/>
    <w:rsid w:val="4EBB2149"/>
    <w:rsid w:val="4ED5779B"/>
    <w:rsid w:val="4EE4F863"/>
    <w:rsid w:val="4F26EFA5"/>
    <w:rsid w:val="4F43E0CB"/>
    <w:rsid w:val="4F5390AC"/>
    <w:rsid w:val="4F671A97"/>
    <w:rsid w:val="4FA04065"/>
    <w:rsid w:val="4FB5C468"/>
    <w:rsid w:val="4FC1E998"/>
    <w:rsid w:val="4FDDA8EC"/>
    <w:rsid w:val="4FFF8F9F"/>
    <w:rsid w:val="5004C794"/>
    <w:rsid w:val="503963C4"/>
    <w:rsid w:val="505E7725"/>
    <w:rsid w:val="50654A40"/>
    <w:rsid w:val="50837648"/>
    <w:rsid w:val="508AC561"/>
    <w:rsid w:val="50A81B4E"/>
    <w:rsid w:val="50B6C141"/>
    <w:rsid w:val="50B6CCEA"/>
    <w:rsid w:val="5133B46C"/>
    <w:rsid w:val="51373B29"/>
    <w:rsid w:val="51443112"/>
    <w:rsid w:val="51507619"/>
    <w:rsid w:val="515B3633"/>
    <w:rsid w:val="5166F095"/>
    <w:rsid w:val="519621A4"/>
    <w:rsid w:val="51AC8FD5"/>
    <w:rsid w:val="5231CCE7"/>
    <w:rsid w:val="5269DF3C"/>
    <w:rsid w:val="52B53B77"/>
    <w:rsid w:val="52D03D47"/>
    <w:rsid w:val="52D3C1CE"/>
    <w:rsid w:val="531EDA8C"/>
    <w:rsid w:val="53AAED98"/>
    <w:rsid w:val="53E45C71"/>
    <w:rsid w:val="53E57AAB"/>
    <w:rsid w:val="54076D7E"/>
    <w:rsid w:val="542360A7"/>
    <w:rsid w:val="543E8D60"/>
    <w:rsid w:val="5475B649"/>
    <w:rsid w:val="547B5960"/>
    <w:rsid w:val="548A18EA"/>
    <w:rsid w:val="54AEDF26"/>
    <w:rsid w:val="54AFE0B4"/>
    <w:rsid w:val="54FA2463"/>
    <w:rsid w:val="55B5BFC4"/>
    <w:rsid w:val="55D27FEB"/>
    <w:rsid w:val="56308D29"/>
    <w:rsid w:val="5641BBFA"/>
    <w:rsid w:val="569026FD"/>
    <w:rsid w:val="5730D28C"/>
    <w:rsid w:val="574FCA6D"/>
    <w:rsid w:val="5787DC94"/>
    <w:rsid w:val="579A17AD"/>
    <w:rsid w:val="58272ED4"/>
    <w:rsid w:val="584F68FB"/>
    <w:rsid w:val="586028EA"/>
    <w:rsid w:val="58704C7F"/>
    <w:rsid w:val="589D61D3"/>
    <w:rsid w:val="58A73589"/>
    <w:rsid w:val="58B554C5"/>
    <w:rsid w:val="58DBF01E"/>
    <w:rsid w:val="5928915C"/>
    <w:rsid w:val="59362CA5"/>
    <w:rsid w:val="598FCC7A"/>
    <w:rsid w:val="59A7F7C7"/>
    <w:rsid w:val="59DF171A"/>
    <w:rsid w:val="59FA2335"/>
    <w:rsid w:val="5A113031"/>
    <w:rsid w:val="5A221DE4"/>
    <w:rsid w:val="5A467463"/>
    <w:rsid w:val="5AB1465C"/>
    <w:rsid w:val="5AE96D5C"/>
    <w:rsid w:val="5B0DDC9A"/>
    <w:rsid w:val="5B871CAF"/>
    <w:rsid w:val="5B97C9AC"/>
    <w:rsid w:val="5B9E629B"/>
    <w:rsid w:val="5BE872DD"/>
    <w:rsid w:val="5C17F7CC"/>
    <w:rsid w:val="5C28B2A4"/>
    <w:rsid w:val="5C3484EF"/>
    <w:rsid w:val="5CE5F63A"/>
    <w:rsid w:val="5CF26908"/>
    <w:rsid w:val="5D29202E"/>
    <w:rsid w:val="5D64C4E7"/>
    <w:rsid w:val="5D73760B"/>
    <w:rsid w:val="5D7506B9"/>
    <w:rsid w:val="5DBFD6E7"/>
    <w:rsid w:val="5DF766D2"/>
    <w:rsid w:val="5E3D9A9D"/>
    <w:rsid w:val="5E777DE9"/>
    <w:rsid w:val="5E7F42F3"/>
    <w:rsid w:val="5E8D8CC4"/>
    <w:rsid w:val="5ED0DFA0"/>
    <w:rsid w:val="5EFB2896"/>
    <w:rsid w:val="5F0309B3"/>
    <w:rsid w:val="5F105B82"/>
    <w:rsid w:val="5F33DB6A"/>
    <w:rsid w:val="5F42B523"/>
    <w:rsid w:val="5F71A1C1"/>
    <w:rsid w:val="5FDD2C73"/>
    <w:rsid w:val="5FE3CA42"/>
    <w:rsid w:val="5FE62379"/>
    <w:rsid w:val="5FFA083E"/>
    <w:rsid w:val="601AB101"/>
    <w:rsid w:val="601DD133"/>
    <w:rsid w:val="606C1852"/>
    <w:rsid w:val="608E967C"/>
    <w:rsid w:val="609660EC"/>
    <w:rsid w:val="60974DBE"/>
    <w:rsid w:val="60F1B230"/>
    <w:rsid w:val="611CA289"/>
    <w:rsid w:val="61325EF2"/>
    <w:rsid w:val="616E0A86"/>
    <w:rsid w:val="6184E1AC"/>
    <w:rsid w:val="61CCA680"/>
    <w:rsid w:val="61E27418"/>
    <w:rsid w:val="620C32DB"/>
    <w:rsid w:val="6234854C"/>
    <w:rsid w:val="624FBAE7"/>
    <w:rsid w:val="626B929B"/>
    <w:rsid w:val="627150EC"/>
    <w:rsid w:val="62A0CCA6"/>
    <w:rsid w:val="636876E1"/>
    <w:rsid w:val="636D1D4C"/>
    <w:rsid w:val="63723DE9"/>
    <w:rsid w:val="6399FA5C"/>
    <w:rsid w:val="63A22EBA"/>
    <w:rsid w:val="63F0B97E"/>
    <w:rsid w:val="6408DED6"/>
    <w:rsid w:val="64236C60"/>
    <w:rsid w:val="643ED954"/>
    <w:rsid w:val="649FE60B"/>
    <w:rsid w:val="64EB6A5E"/>
    <w:rsid w:val="65B1C06F"/>
    <w:rsid w:val="65B3ABB2"/>
    <w:rsid w:val="65DB61D9"/>
    <w:rsid w:val="660F4169"/>
    <w:rsid w:val="66353B11"/>
    <w:rsid w:val="66AEE93B"/>
    <w:rsid w:val="66E7BA46"/>
    <w:rsid w:val="672C062E"/>
    <w:rsid w:val="67446766"/>
    <w:rsid w:val="674D90D0"/>
    <w:rsid w:val="6792142E"/>
    <w:rsid w:val="67CE90EC"/>
    <w:rsid w:val="67D491D5"/>
    <w:rsid w:val="68C96BAC"/>
    <w:rsid w:val="68D32FE3"/>
    <w:rsid w:val="68F4D5D6"/>
    <w:rsid w:val="696749CC"/>
    <w:rsid w:val="698C349B"/>
    <w:rsid w:val="6A2F4181"/>
    <w:rsid w:val="6A836B4C"/>
    <w:rsid w:val="6A9CE8F4"/>
    <w:rsid w:val="6AC5C04E"/>
    <w:rsid w:val="6B00BEAE"/>
    <w:rsid w:val="6B09BABB"/>
    <w:rsid w:val="6B0D6B04"/>
    <w:rsid w:val="6B13C75B"/>
    <w:rsid w:val="6B601875"/>
    <w:rsid w:val="6B678B93"/>
    <w:rsid w:val="6B707806"/>
    <w:rsid w:val="6B8D65DB"/>
    <w:rsid w:val="6CD8F8DC"/>
    <w:rsid w:val="6D0ECF52"/>
    <w:rsid w:val="6D242465"/>
    <w:rsid w:val="6DADF10B"/>
    <w:rsid w:val="6DC4B44B"/>
    <w:rsid w:val="6DD81E05"/>
    <w:rsid w:val="6DE292FD"/>
    <w:rsid w:val="6DEF80DB"/>
    <w:rsid w:val="6DFA6D87"/>
    <w:rsid w:val="6E1FA74D"/>
    <w:rsid w:val="6E607458"/>
    <w:rsid w:val="6F30D9C9"/>
    <w:rsid w:val="6F437FB2"/>
    <w:rsid w:val="6F88A480"/>
    <w:rsid w:val="6FDC1D57"/>
    <w:rsid w:val="6FF10507"/>
    <w:rsid w:val="6FF2E60B"/>
    <w:rsid w:val="70456A8C"/>
    <w:rsid w:val="707A046C"/>
    <w:rsid w:val="70D2214F"/>
    <w:rsid w:val="70F8A55D"/>
    <w:rsid w:val="715E0B04"/>
    <w:rsid w:val="71664408"/>
    <w:rsid w:val="71D64A7B"/>
    <w:rsid w:val="71F54ED3"/>
    <w:rsid w:val="72058090"/>
    <w:rsid w:val="725331B8"/>
    <w:rsid w:val="72587ADF"/>
    <w:rsid w:val="726777FE"/>
    <w:rsid w:val="7272D08C"/>
    <w:rsid w:val="7293B1BA"/>
    <w:rsid w:val="729CE0CB"/>
    <w:rsid w:val="72D3CAB6"/>
    <w:rsid w:val="735D378A"/>
    <w:rsid w:val="7386A571"/>
    <w:rsid w:val="738CCBF3"/>
    <w:rsid w:val="73AEF259"/>
    <w:rsid w:val="73B8B457"/>
    <w:rsid w:val="73D60A44"/>
    <w:rsid w:val="742A98CA"/>
    <w:rsid w:val="742DB71A"/>
    <w:rsid w:val="743CA882"/>
    <w:rsid w:val="744437A9"/>
    <w:rsid w:val="744A9C71"/>
    <w:rsid w:val="74FF3D54"/>
    <w:rsid w:val="756BA9A3"/>
    <w:rsid w:val="756C932C"/>
    <w:rsid w:val="759ED3DC"/>
    <w:rsid w:val="75EEA243"/>
    <w:rsid w:val="762F6A52"/>
    <w:rsid w:val="7634C200"/>
    <w:rsid w:val="76437155"/>
    <w:rsid w:val="7650F7D7"/>
    <w:rsid w:val="76630997"/>
    <w:rsid w:val="766C6B09"/>
    <w:rsid w:val="767F9DFF"/>
    <w:rsid w:val="7687E54B"/>
    <w:rsid w:val="76907AC7"/>
    <w:rsid w:val="76A087EA"/>
    <w:rsid w:val="76A15401"/>
    <w:rsid w:val="76B7B95B"/>
    <w:rsid w:val="76DFB7F5"/>
    <w:rsid w:val="76FC062B"/>
    <w:rsid w:val="7700BD8F"/>
    <w:rsid w:val="770DEFFA"/>
    <w:rsid w:val="773C5947"/>
    <w:rsid w:val="773FFC89"/>
    <w:rsid w:val="77749CAA"/>
    <w:rsid w:val="77C829C6"/>
    <w:rsid w:val="77E5AB97"/>
    <w:rsid w:val="7866DD34"/>
    <w:rsid w:val="786CE3E6"/>
    <w:rsid w:val="788A6DCF"/>
    <w:rsid w:val="789F66F6"/>
    <w:rsid w:val="78C1E774"/>
    <w:rsid w:val="78DD3334"/>
    <w:rsid w:val="7905EDD9"/>
    <w:rsid w:val="790762D1"/>
    <w:rsid w:val="7916E399"/>
    <w:rsid w:val="792AEB4E"/>
    <w:rsid w:val="79868CEB"/>
    <w:rsid w:val="79AFCCA9"/>
    <w:rsid w:val="79CB7C10"/>
    <w:rsid w:val="79ED63C4"/>
    <w:rsid w:val="7A1C3EC9"/>
    <w:rsid w:val="7A3B0581"/>
    <w:rsid w:val="7A3C01A0"/>
    <w:rsid w:val="7A5E12A7"/>
    <w:rsid w:val="7A5F9BE8"/>
    <w:rsid w:val="7A9B15D0"/>
    <w:rsid w:val="7AD2AF52"/>
    <w:rsid w:val="7AE04246"/>
    <w:rsid w:val="7B0B178D"/>
    <w:rsid w:val="7B2E0192"/>
    <w:rsid w:val="7BB5E206"/>
    <w:rsid w:val="7C04CF83"/>
    <w:rsid w:val="7C06280F"/>
    <w:rsid w:val="7C120046"/>
    <w:rsid w:val="7C2A625D"/>
    <w:rsid w:val="7C2BFA64"/>
    <w:rsid w:val="7CC9D1F3"/>
    <w:rsid w:val="7D026953"/>
    <w:rsid w:val="7D0D8BAD"/>
    <w:rsid w:val="7D163AB5"/>
    <w:rsid w:val="7D1B00B0"/>
    <w:rsid w:val="7D30CD4D"/>
    <w:rsid w:val="7D404E15"/>
    <w:rsid w:val="7D415D0E"/>
    <w:rsid w:val="7D61E018"/>
    <w:rsid w:val="7D65A6E2"/>
    <w:rsid w:val="7D875D67"/>
    <w:rsid w:val="7DB317C6"/>
    <w:rsid w:val="7DCFF77E"/>
    <w:rsid w:val="7E3F0086"/>
    <w:rsid w:val="7E7E9688"/>
    <w:rsid w:val="7EA413D5"/>
    <w:rsid w:val="7EAC1A8C"/>
    <w:rsid w:val="7EAEE9F7"/>
    <w:rsid w:val="7EDFC9DF"/>
    <w:rsid w:val="7F2C4267"/>
    <w:rsid w:val="7F579EFB"/>
    <w:rsid w:val="7F5A50F1"/>
    <w:rsid w:val="7FAD1B78"/>
    <w:rsid w:val="7FAF60D5"/>
    <w:rsid w:val="7FD6B23A"/>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B4094"/>
  <w15:chartTrackingRefBased/>
  <w15:docId w15:val="{01D51EF3-DED8-4FDD-AA51-4638524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79"/>
    <w:pPr>
      <w:spacing w:line="360" w:lineRule="auto"/>
    </w:pPr>
    <w:rPr>
      <w:sz w:val="28"/>
    </w:rPr>
  </w:style>
  <w:style w:type="paragraph" w:styleId="Heading1">
    <w:name w:val="heading 1"/>
    <w:basedOn w:val="Normal"/>
    <w:next w:val="Normal"/>
    <w:link w:val="Heading1Char"/>
    <w:uiPriority w:val="9"/>
    <w:qFormat/>
    <w:rsid w:val="0007637C"/>
    <w:pPr>
      <w:keepNext/>
      <w:keepLines/>
      <w:spacing w:before="320" w:after="0"/>
      <w:outlineLvl w:val="0"/>
    </w:pPr>
    <w:rPr>
      <w:rFonts w:asciiTheme="majorHAnsi" w:eastAsiaTheme="majorEastAsia" w:hAnsiTheme="majorHAnsi" w:cstheme="majorBidi"/>
      <w:color w:val="880050" w:themeColor="accent1" w:themeShade="BF"/>
      <w:sz w:val="40"/>
      <w:szCs w:val="32"/>
    </w:rPr>
  </w:style>
  <w:style w:type="paragraph" w:styleId="Heading2">
    <w:name w:val="heading 2"/>
    <w:basedOn w:val="Normal"/>
    <w:next w:val="Normal"/>
    <w:link w:val="Heading2Char"/>
    <w:uiPriority w:val="9"/>
    <w:unhideWhenUsed/>
    <w:qFormat/>
    <w:rsid w:val="00877123"/>
    <w:pPr>
      <w:keepNext/>
      <w:keepLines/>
      <w:spacing w:before="80" w:after="0"/>
      <w:outlineLvl w:val="1"/>
    </w:pPr>
    <w:rPr>
      <w:rFonts w:asciiTheme="majorHAnsi" w:eastAsiaTheme="majorEastAsia" w:hAnsiTheme="majorHAnsi" w:cstheme="majorBidi"/>
      <w:color w:val="3C3C3C" w:themeColor="background2" w:themeShade="40"/>
      <w:sz w:val="32"/>
      <w:szCs w:val="28"/>
    </w:rPr>
  </w:style>
  <w:style w:type="paragraph" w:styleId="Heading3">
    <w:name w:val="heading 3"/>
    <w:basedOn w:val="Normal"/>
    <w:next w:val="Normal"/>
    <w:link w:val="Heading3Char"/>
    <w:uiPriority w:val="9"/>
    <w:unhideWhenUsed/>
    <w:qFormat/>
    <w:rsid w:val="005D459D"/>
    <w:pPr>
      <w:keepNext/>
      <w:keepLines/>
      <w:spacing w:before="40" w:after="0"/>
      <w:outlineLvl w:val="2"/>
    </w:pPr>
    <w:rPr>
      <w:rFonts w:asciiTheme="majorHAnsi" w:eastAsiaTheme="majorEastAsia" w:hAnsiTheme="majorHAnsi" w:cstheme="majorBidi"/>
      <w:color w:val="EC008B" w:themeColor="accent2"/>
      <w:szCs w:val="24"/>
    </w:rPr>
  </w:style>
  <w:style w:type="paragraph" w:styleId="Heading4">
    <w:name w:val="heading 4"/>
    <w:basedOn w:val="Normal"/>
    <w:next w:val="Normal"/>
    <w:link w:val="Heading4Char"/>
    <w:uiPriority w:val="9"/>
    <w:unhideWhenUsed/>
    <w:qFormat/>
    <w:rsid w:val="005D459D"/>
    <w:pPr>
      <w:keepNext/>
      <w:keepLines/>
      <w:spacing w:before="40" w:after="0"/>
      <w:outlineLvl w:val="3"/>
    </w:pPr>
    <w:rPr>
      <w:rFonts w:asciiTheme="majorHAnsi" w:eastAsiaTheme="majorEastAsia" w:hAnsiTheme="majorHAnsi" w:cstheme="majorBidi"/>
      <w:color w:val="B6006C" w:themeColor="accent1"/>
      <w:szCs w:val="22"/>
    </w:rPr>
  </w:style>
  <w:style w:type="paragraph" w:styleId="Heading5">
    <w:name w:val="heading 5"/>
    <w:basedOn w:val="Normal"/>
    <w:next w:val="Normal"/>
    <w:link w:val="Heading5Char"/>
    <w:uiPriority w:val="9"/>
    <w:semiHidden/>
    <w:unhideWhenUsed/>
    <w:qFormat/>
    <w:rsid w:val="0007637C"/>
    <w:pPr>
      <w:keepNext/>
      <w:keepLines/>
      <w:spacing w:before="40" w:after="0"/>
      <w:outlineLvl w:val="4"/>
    </w:pPr>
    <w:rPr>
      <w:rFonts w:asciiTheme="majorHAnsi" w:eastAsiaTheme="majorEastAsia" w:hAnsiTheme="majorHAnsi" w:cstheme="majorBidi"/>
      <w:color w:val="262626" w:themeColor="text2"/>
      <w:sz w:val="22"/>
      <w:szCs w:val="22"/>
    </w:rPr>
  </w:style>
  <w:style w:type="paragraph" w:styleId="Heading6">
    <w:name w:val="heading 6"/>
    <w:basedOn w:val="Normal"/>
    <w:next w:val="Normal"/>
    <w:link w:val="Heading6Char"/>
    <w:uiPriority w:val="9"/>
    <w:semiHidden/>
    <w:unhideWhenUsed/>
    <w:qFormat/>
    <w:rsid w:val="0007637C"/>
    <w:pPr>
      <w:keepNext/>
      <w:keepLines/>
      <w:spacing w:before="40" w:after="0"/>
      <w:outlineLvl w:val="5"/>
    </w:pPr>
    <w:rPr>
      <w:rFonts w:asciiTheme="majorHAnsi" w:eastAsiaTheme="majorEastAsia" w:hAnsiTheme="majorHAnsi" w:cstheme="majorBidi"/>
      <w:i/>
      <w:iCs/>
      <w:color w:val="262626" w:themeColor="text2"/>
      <w:sz w:val="21"/>
      <w:szCs w:val="21"/>
    </w:rPr>
  </w:style>
  <w:style w:type="paragraph" w:styleId="Heading7">
    <w:name w:val="heading 7"/>
    <w:basedOn w:val="Normal"/>
    <w:next w:val="Normal"/>
    <w:link w:val="Heading7Char"/>
    <w:uiPriority w:val="9"/>
    <w:semiHidden/>
    <w:unhideWhenUsed/>
    <w:qFormat/>
    <w:rsid w:val="0007637C"/>
    <w:pPr>
      <w:keepNext/>
      <w:keepLines/>
      <w:spacing w:before="40" w:after="0"/>
      <w:outlineLvl w:val="6"/>
    </w:pPr>
    <w:rPr>
      <w:rFonts w:asciiTheme="majorHAnsi" w:eastAsiaTheme="majorEastAsia" w:hAnsiTheme="majorHAnsi" w:cstheme="majorBidi"/>
      <w:i/>
      <w:iCs/>
      <w:color w:val="5B0036" w:themeColor="accent1" w:themeShade="80"/>
      <w:sz w:val="21"/>
      <w:szCs w:val="21"/>
    </w:rPr>
  </w:style>
  <w:style w:type="paragraph" w:styleId="Heading8">
    <w:name w:val="heading 8"/>
    <w:basedOn w:val="Normal"/>
    <w:next w:val="Normal"/>
    <w:link w:val="Heading8Char"/>
    <w:uiPriority w:val="9"/>
    <w:semiHidden/>
    <w:unhideWhenUsed/>
    <w:qFormat/>
    <w:rsid w:val="0007637C"/>
    <w:pPr>
      <w:keepNext/>
      <w:keepLines/>
      <w:spacing w:before="40" w:after="0"/>
      <w:outlineLvl w:val="7"/>
    </w:pPr>
    <w:rPr>
      <w:rFonts w:asciiTheme="majorHAnsi" w:eastAsiaTheme="majorEastAsia" w:hAnsiTheme="majorHAnsi" w:cstheme="majorBidi"/>
      <w:b/>
      <w:bCs/>
      <w:color w:val="262626" w:themeColor="text2"/>
    </w:rPr>
  </w:style>
  <w:style w:type="paragraph" w:styleId="Heading9">
    <w:name w:val="heading 9"/>
    <w:basedOn w:val="Normal"/>
    <w:next w:val="Normal"/>
    <w:link w:val="Heading9Char"/>
    <w:uiPriority w:val="9"/>
    <w:semiHidden/>
    <w:unhideWhenUsed/>
    <w:qFormat/>
    <w:rsid w:val="0007637C"/>
    <w:pPr>
      <w:keepNext/>
      <w:keepLines/>
      <w:spacing w:before="40" w:after="0"/>
      <w:outlineLvl w:val="8"/>
    </w:pPr>
    <w:rPr>
      <w:rFonts w:asciiTheme="majorHAnsi" w:eastAsiaTheme="majorEastAsia" w:hAnsiTheme="majorHAnsi" w:cstheme="majorBidi"/>
      <w:b/>
      <w:bCs/>
      <w:i/>
      <w:iCs/>
      <w:color w:val="262626"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AA3"/>
  </w:style>
  <w:style w:type="paragraph" w:styleId="Footer">
    <w:name w:val="footer"/>
    <w:basedOn w:val="Normal"/>
    <w:link w:val="FooterChar"/>
    <w:uiPriority w:val="99"/>
    <w:unhideWhenUsed/>
    <w:rsid w:val="00942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AA3"/>
  </w:style>
  <w:style w:type="paragraph" w:styleId="NoSpacing">
    <w:name w:val="No Spacing"/>
    <w:link w:val="NoSpacingChar"/>
    <w:uiPriority w:val="1"/>
    <w:qFormat/>
    <w:rsid w:val="0007637C"/>
    <w:pPr>
      <w:spacing w:after="0" w:line="240" w:lineRule="auto"/>
    </w:pPr>
  </w:style>
  <w:style w:type="character" w:customStyle="1" w:styleId="NoSpacingChar">
    <w:name w:val="No Spacing Char"/>
    <w:basedOn w:val="DefaultParagraphFont"/>
    <w:link w:val="NoSpacing"/>
    <w:uiPriority w:val="1"/>
    <w:rsid w:val="00942AA3"/>
  </w:style>
  <w:style w:type="paragraph" w:styleId="FootnoteText">
    <w:name w:val="footnote text"/>
    <w:basedOn w:val="Normal"/>
    <w:link w:val="FootnoteTextChar"/>
    <w:unhideWhenUsed/>
    <w:rsid w:val="00B50D4C"/>
    <w:pPr>
      <w:spacing w:after="0" w:line="240" w:lineRule="auto"/>
    </w:pPr>
    <w:rPr>
      <w:rFonts w:eastAsia="Times New Roman"/>
      <w:sz w:val="20"/>
    </w:rPr>
  </w:style>
  <w:style w:type="character" w:customStyle="1" w:styleId="FootnoteTextChar">
    <w:name w:val="Footnote Text Char"/>
    <w:basedOn w:val="DefaultParagraphFont"/>
    <w:link w:val="FootnoteText"/>
    <w:rsid w:val="00B50D4C"/>
    <w:rPr>
      <w:rFonts w:eastAsia="Times New Roman"/>
      <w:sz w:val="20"/>
      <w:szCs w:val="20"/>
    </w:rPr>
  </w:style>
  <w:style w:type="character" w:styleId="FootnoteReference">
    <w:name w:val="footnote reference"/>
    <w:basedOn w:val="DefaultParagraphFont"/>
    <w:uiPriority w:val="99"/>
    <w:unhideWhenUsed/>
    <w:rsid w:val="00B50D4C"/>
    <w:rPr>
      <w:vertAlign w:val="superscript"/>
    </w:rPr>
  </w:style>
  <w:style w:type="character" w:customStyle="1" w:styleId="Heading1Char">
    <w:name w:val="Heading 1 Char"/>
    <w:basedOn w:val="DefaultParagraphFont"/>
    <w:link w:val="Heading1"/>
    <w:uiPriority w:val="9"/>
    <w:rsid w:val="0007637C"/>
    <w:rPr>
      <w:rFonts w:asciiTheme="majorHAnsi" w:eastAsiaTheme="majorEastAsia" w:hAnsiTheme="majorHAnsi" w:cstheme="majorBidi"/>
      <w:color w:val="880050" w:themeColor="accent1" w:themeShade="BF"/>
      <w:sz w:val="40"/>
      <w:szCs w:val="32"/>
    </w:rPr>
  </w:style>
  <w:style w:type="character" w:customStyle="1" w:styleId="Heading2Char">
    <w:name w:val="Heading 2 Char"/>
    <w:basedOn w:val="DefaultParagraphFont"/>
    <w:link w:val="Heading2"/>
    <w:uiPriority w:val="9"/>
    <w:rsid w:val="00877123"/>
    <w:rPr>
      <w:rFonts w:asciiTheme="majorHAnsi" w:eastAsiaTheme="majorEastAsia" w:hAnsiTheme="majorHAnsi" w:cstheme="majorBidi"/>
      <w:color w:val="3C3C3C" w:themeColor="background2" w:themeShade="40"/>
      <w:sz w:val="32"/>
      <w:szCs w:val="28"/>
    </w:rPr>
  </w:style>
  <w:style w:type="table" w:styleId="TableGrid">
    <w:name w:val="Table Grid"/>
    <w:basedOn w:val="TableNormal"/>
    <w:uiPriority w:val="39"/>
    <w:rsid w:val="001A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8DB"/>
    <w:rPr>
      <w:color w:val="B6006C" w:themeColor="hyperlink"/>
      <w:u w:val="single"/>
    </w:rPr>
  </w:style>
  <w:style w:type="character" w:styleId="CommentReference">
    <w:name w:val="annotation reference"/>
    <w:basedOn w:val="DefaultParagraphFont"/>
    <w:uiPriority w:val="99"/>
    <w:semiHidden/>
    <w:unhideWhenUsed/>
    <w:rsid w:val="00502E1C"/>
    <w:rPr>
      <w:sz w:val="16"/>
      <w:szCs w:val="16"/>
    </w:rPr>
  </w:style>
  <w:style w:type="paragraph" w:styleId="CommentText">
    <w:name w:val="annotation text"/>
    <w:basedOn w:val="Normal"/>
    <w:link w:val="CommentTextChar"/>
    <w:uiPriority w:val="99"/>
    <w:semiHidden/>
    <w:unhideWhenUsed/>
    <w:rsid w:val="00502E1C"/>
    <w:pPr>
      <w:spacing w:line="240" w:lineRule="auto"/>
    </w:pPr>
    <w:rPr>
      <w:sz w:val="20"/>
    </w:rPr>
  </w:style>
  <w:style w:type="character" w:customStyle="1" w:styleId="CommentTextChar">
    <w:name w:val="Comment Text Char"/>
    <w:basedOn w:val="DefaultParagraphFont"/>
    <w:link w:val="CommentText"/>
    <w:uiPriority w:val="99"/>
    <w:semiHidden/>
    <w:rsid w:val="00502E1C"/>
    <w:rPr>
      <w:sz w:val="20"/>
      <w:szCs w:val="20"/>
    </w:rPr>
  </w:style>
  <w:style w:type="paragraph" w:styleId="CommentSubject">
    <w:name w:val="annotation subject"/>
    <w:basedOn w:val="CommentText"/>
    <w:next w:val="CommentText"/>
    <w:link w:val="CommentSubjectChar"/>
    <w:uiPriority w:val="99"/>
    <w:semiHidden/>
    <w:unhideWhenUsed/>
    <w:rsid w:val="00502E1C"/>
    <w:rPr>
      <w:b/>
      <w:bCs/>
    </w:rPr>
  </w:style>
  <w:style w:type="character" w:customStyle="1" w:styleId="CommentSubjectChar">
    <w:name w:val="Comment Subject Char"/>
    <w:basedOn w:val="CommentTextChar"/>
    <w:link w:val="CommentSubject"/>
    <w:uiPriority w:val="99"/>
    <w:semiHidden/>
    <w:rsid w:val="00502E1C"/>
    <w:rPr>
      <w:b/>
      <w:bCs/>
      <w:sz w:val="20"/>
      <w:szCs w:val="20"/>
    </w:rPr>
  </w:style>
  <w:style w:type="paragraph" w:styleId="BalloonText">
    <w:name w:val="Balloon Text"/>
    <w:basedOn w:val="Normal"/>
    <w:link w:val="BalloonTextChar"/>
    <w:uiPriority w:val="99"/>
    <w:semiHidden/>
    <w:unhideWhenUsed/>
    <w:rsid w:val="00502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1C"/>
    <w:rPr>
      <w:rFonts w:ascii="Segoe UI" w:hAnsi="Segoe UI" w:cs="Segoe UI"/>
      <w:sz w:val="18"/>
      <w:szCs w:val="18"/>
    </w:rPr>
  </w:style>
  <w:style w:type="table" w:customStyle="1" w:styleId="TableGrid1">
    <w:name w:val="Table Grid1"/>
    <w:basedOn w:val="TableNormal"/>
    <w:next w:val="TableGrid"/>
    <w:uiPriority w:val="59"/>
    <w:rsid w:val="00B109DF"/>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36DC"/>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513"/>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808A8"/>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E1952"/>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062E1"/>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105B43"/>
    <w:pPr>
      <w:spacing w:after="0" w:line="240" w:lineRule="auto"/>
    </w:pPr>
    <w:tblPr>
      <w:tblStyleRowBandSize w:val="1"/>
      <w:tblStyleColBandSize w:val="1"/>
      <w:tblBorders>
        <w:top w:val="single" w:sz="4" w:space="0" w:color="FF91D1"/>
        <w:left w:val="single" w:sz="4" w:space="0" w:color="FF91D1"/>
        <w:bottom w:val="single" w:sz="4" w:space="0" w:color="FF91D1"/>
        <w:right w:val="single" w:sz="4" w:space="0" w:color="FF91D1"/>
        <w:insideH w:val="single" w:sz="4" w:space="0" w:color="FF91D1"/>
        <w:insideV w:val="single" w:sz="4" w:space="0" w:color="FF91D1"/>
      </w:tblBorders>
    </w:tblPr>
    <w:tblStylePr w:type="firstRow">
      <w:rPr>
        <w:b/>
        <w:bCs/>
      </w:rPr>
      <w:tblPr/>
      <w:tcPr>
        <w:tcBorders>
          <w:bottom w:val="single" w:sz="12" w:space="0" w:color="FF5ABB"/>
        </w:tcBorders>
      </w:tcPr>
    </w:tblStylePr>
    <w:tblStylePr w:type="lastRow">
      <w:rPr>
        <w:b/>
        <w:bCs/>
      </w:rPr>
      <w:tblPr/>
      <w:tcPr>
        <w:tcBorders>
          <w:top w:val="double" w:sz="2" w:space="0" w:color="FF5ABB"/>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C6782E"/>
    <w:pPr>
      <w:spacing w:after="0" w:line="240" w:lineRule="auto"/>
    </w:pPr>
    <w:tblPr>
      <w:tblStyleRowBandSize w:val="1"/>
      <w:tblStyleColBandSize w:val="1"/>
      <w:tblBorders>
        <w:top w:val="single" w:sz="4" w:space="0" w:color="FF91D1"/>
        <w:left w:val="single" w:sz="4" w:space="0" w:color="FF91D1"/>
        <w:bottom w:val="single" w:sz="4" w:space="0" w:color="FF91D1"/>
        <w:right w:val="single" w:sz="4" w:space="0" w:color="FF91D1"/>
        <w:insideH w:val="single" w:sz="4" w:space="0" w:color="FF91D1"/>
        <w:insideV w:val="single" w:sz="4" w:space="0" w:color="FF91D1"/>
      </w:tblBorders>
    </w:tblPr>
    <w:tblStylePr w:type="firstRow">
      <w:rPr>
        <w:b/>
        <w:bCs/>
      </w:rPr>
      <w:tblPr/>
      <w:tcPr>
        <w:tcBorders>
          <w:bottom w:val="single" w:sz="12" w:space="0" w:color="FF5ABB"/>
        </w:tcBorders>
      </w:tcPr>
    </w:tblStylePr>
    <w:tblStylePr w:type="lastRow">
      <w:rPr>
        <w:b/>
        <w:bCs/>
      </w:rPr>
      <w:tblPr/>
      <w:tcPr>
        <w:tcBorders>
          <w:top w:val="double" w:sz="2" w:space="0" w:color="FF5AB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782E"/>
    <w:pPr>
      <w:spacing w:after="0" w:line="240" w:lineRule="auto"/>
    </w:pPr>
    <w:tblPr>
      <w:tblStyleRowBandSize w:val="1"/>
      <w:tblStyleColBandSize w:val="1"/>
      <w:tblBorders>
        <w:top w:val="single" w:sz="4" w:space="0" w:color="FF91D1" w:themeColor="accent2" w:themeTint="66"/>
        <w:left w:val="single" w:sz="4" w:space="0" w:color="FF91D1" w:themeColor="accent2" w:themeTint="66"/>
        <w:bottom w:val="single" w:sz="4" w:space="0" w:color="FF91D1" w:themeColor="accent2" w:themeTint="66"/>
        <w:right w:val="single" w:sz="4" w:space="0" w:color="FF91D1" w:themeColor="accent2" w:themeTint="66"/>
        <w:insideH w:val="single" w:sz="4" w:space="0" w:color="FF91D1" w:themeColor="accent2" w:themeTint="66"/>
        <w:insideV w:val="single" w:sz="4" w:space="0" w:color="FF91D1" w:themeColor="accent2" w:themeTint="66"/>
      </w:tblBorders>
    </w:tblPr>
    <w:tblStylePr w:type="firstRow">
      <w:rPr>
        <w:b/>
        <w:bCs/>
      </w:rPr>
      <w:tblPr/>
      <w:tcPr>
        <w:tcBorders>
          <w:bottom w:val="single" w:sz="12" w:space="0" w:color="FF5ABB" w:themeColor="accent2" w:themeTint="99"/>
        </w:tcBorders>
      </w:tcPr>
    </w:tblStylePr>
    <w:tblStylePr w:type="lastRow">
      <w:rPr>
        <w:b/>
        <w:bCs/>
      </w:rPr>
      <w:tblPr/>
      <w:tcPr>
        <w:tcBorders>
          <w:top w:val="double" w:sz="2" w:space="0" w:color="FF5ABB"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230BEE"/>
    <w:pPr>
      <w:spacing w:after="0" w:line="240" w:lineRule="auto"/>
    </w:pPr>
  </w:style>
  <w:style w:type="character" w:styleId="FollowedHyperlink">
    <w:name w:val="FollowedHyperlink"/>
    <w:basedOn w:val="DefaultParagraphFont"/>
    <w:uiPriority w:val="99"/>
    <w:semiHidden/>
    <w:unhideWhenUsed/>
    <w:rsid w:val="007A3C0A"/>
    <w:rPr>
      <w:color w:val="2D7D9E" w:themeColor="followedHyperlink"/>
      <w:u w:val="single"/>
    </w:rPr>
  </w:style>
  <w:style w:type="paragraph" w:styleId="ListParagraph">
    <w:name w:val="List Paragraph"/>
    <w:basedOn w:val="Normal"/>
    <w:uiPriority w:val="34"/>
    <w:qFormat/>
    <w:rsid w:val="003223B2"/>
    <w:pPr>
      <w:ind w:left="720"/>
      <w:contextualSpacing/>
    </w:pPr>
  </w:style>
  <w:style w:type="paragraph" w:styleId="TOCHeading">
    <w:name w:val="TOC Heading"/>
    <w:basedOn w:val="Heading1"/>
    <w:next w:val="Normal"/>
    <w:uiPriority w:val="39"/>
    <w:unhideWhenUsed/>
    <w:qFormat/>
    <w:rsid w:val="0007637C"/>
    <w:pPr>
      <w:outlineLvl w:val="9"/>
    </w:pPr>
  </w:style>
  <w:style w:type="paragraph" w:styleId="TOC1">
    <w:name w:val="toc 1"/>
    <w:basedOn w:val="Normal"/>
    <w:next w:val="Normal"/>
    <w:autoRedefine/>
    <w:uiPriority w:val="39"/>
    <w:unhideWhenUsed/>
    <w:rsid w:val="0095003C"/>
    <w:pPr>
      <w:spacing w:after="100"/>
    </w:pPr>
  </w:style>
  <w:style w:type="paragraph" w:styleId="TOC2">
    <w:name w:val="toc 2"/>
    <w:basedOn w:val="Normal"/>
    <w:next w:val="Normal"/>
    <w:autoRedefine/>
    <w:uiPriority w:val="39"/>
    <w:unhideWhenUsed/>
    <w:rsid w:val="0095003C"/>
    <w:pPr>
      <w:spacing w:after="100"/>
      <w:ind w:left="220"/>
    </w:pPr>
  </w:style>
  <w:style w:type="character" w:customStyle="1" w:styleId="Heading3Char">
    <w:name w:val="Heading 3 Char"/>
    <w:basedOn w:val="DefaultParagraphFont"/>
    <w:link w:val="Heading3"/>
    <w:uiPriority w:val="9"/>
    <w:rsid w:val="005D459D"/>
    <w:rPr>
      <w:rFonts w:asciiTheme="majorHAnsi" w:eastAsiaTheme="majorEastAsia" w:hAnsiTheme="majorHAnsi" w:cstheme="majorBidi"/>
      <w:color w:val="EC008B" w:themeColor="accent2"/>
      <w:sz w:val="28"/>
      <w:szCs w:val="24"/>
    </w:rPr>
  </w:style>
  <w:style w:type="paragraph" w:styleId="TOC3">
    <w:name w:val="toc 3"/>
    <w:basedOn w:val="Normal"/>
    <w:next w:val="Normal"/>
    <w:autoRedefine/>
    <w:uiPriority w:val="39"/>
    <w:unhideWhenUsed/>
    <w:rsid w:val="001D1E4B"/>
    <w:pPr>
      <w:spacing w:after="100"/>
      <w:ind w:left="440"/>
    </w:pPr>
  </w:style>
  <w:style w:type="character" w:customStyle="1" w:styleId="Heading4Char">
    <w:name w:val="Heading 4 Char"/>
    <w:basedOn w:val="DefaultParagraphFont"/>
    <w:link w:val="Heading4"/>
    <w:uiPriority w:val="9"/>
    <w:rsid w:val="005D459D"/>
    <w:rPr>
      <w:rFonts w:asciiTheme="majorHAnsi" w:eastAsiaTheme="majorEastAsia" w:hAnsiTheme="majorHAnsi" w:cstheme="majorBidi"/>
      <w:color w:val="B6006C" w:themeColor="accent1"/>
      <w:sz w:val="28"/>
      <w:szCs w:val="22"/>
    </w:rPr>
  </w:style>
  <w:style w:type="character" w:customStyle="1" w:styleId="Mention">
    <w:name w:val="Mention"/>
    <w:basedOn w:val="DefaultParagraphFont"/>
    <w:uiPriority w:val="99"/>
    <w:unhideWhenUsed/>
    <w:rsid w:val="00B6663C"/>
    <w:rPr>
      <w:color w:val="2B579A"/>
      <w:shd w:val="clear" w:color="auto" w:fill="E6E6E6"/>
    </w:rPr>
  </w:style>
  <w:style w:type="paragraph" w:styleId="Title">
    <w:name w:val="Title"/>
    <w:basedOn w:val="Normal"/>
    <w:next w:val="Normal"/>
    <w:link w:val="TitleChar"/>
    <w:uiPriority w:val="10"/>
    <w:qFormat/>
    <w:rsid w:val="0007637C"/>
    <w:pPr>
      <w:spacing w:after="0" w:line="240" w:lineRule="auto"/>
      <w:contextualSpacing/>
    </w:pPr>
    <w:rPr>
      <w:rFonts w:asciiTheme="majorHAnsi" w:eastAsiaTheme="majorEastAsia" w:hAnsiTheme="majorHAnsi" w:cstheme="majorBidi"/>
      <w:color w:val="B6006C" w:themeColor="accent1"/>
      <w:spacing w:val="-10"/>
      <w:sz w:val="72"/>
      <w:szCs w:val="56"/>
    </w:rPr>
  </w:style>
  <w:style w:type="character" w:customStyle="1" w:styleId="TitleChar">
    <w:name w:val="Title Char"/>
    <w:basedOn w:val="DefaultParagraphFont"/>
    <w:link w:val="Title"/>
    <w:uiPriority w:val="10"/>
    <w:rsid w:val="0007637C"/>
    <w:rPr>
      <w:rFonts w:asciiTheme="majorHAnsi" w:eastAsiaTheme="majorEastAsia" w:hAnsiTheme="majorHAnsi" w:cstheme="majorBidi"/>
      <w:color w:val="B6006C" w:themeColor="accent1"/>
      <w:spacing w:val="-10"/>
      <w:sz w:val="72"/>
      <w:szCs w:val="56"/>
    </w:rPr>
  </w:style>
  <w:style w:type="paragraph" w:styleId="Subtitle">
    <w:name w:val="Subtitle"/>
    <w:basedOn w:val="Normal"/>
    <w:next w:val="Normal"/>
    <w:link w:val="SubtitleChar"/>
    <w:uiPriority w:val="11"/>
    <w:qFormat/>
    <w:rsid w:val="0007637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637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7637C"/>
    <w:rPr>
      <w:rFonts w:asciiTheme="majorHAnsi" w:eastAsiaTheme="majorEastAsia" w:hAnsiTheme="majorHAnsi" w:cstheme="majorBidi"/>
      <w:color w:val="262626" w:themeColor="text2"/>
      <w:sz w:val="22"/>
      <w:szCs w:val="22"/>
    </w:rPr>
  </w:style>
  <w:style w:type="character" w:customStyle="1" w:styleId="Heading6Char">
    <w:name w:val="Heading 6 Char"/>
    <w:basedOn w:val="DefaultParagraphFont"/>
    <w:link w:val="Heading6"/>
    <w:uiPriority w:val="9"/>
    <w:semiHidden/>
    <w:rsid w:val="0007637C"/>
    <w:rPr>
      <w:rFonts w:asciiTheme="majorHAnsi" w:eastAsiaTheme="majorEastAsia" w:hAnsiTheme="majorHAnsi" w:cstheme="majorBidi"/>
      <w:i/>
      <w:iCs/>
      <w:color w:val="262626" w:themeColor="text2"/>
      <w:sz w:val="21"/>
      <w:szCs w:val="21"/>
    </w:rPr>
  </w:style>
  <w:style w:type="character" w:customStyle="1" w:styleId="Heading7Char">
    <w:name w:val="Heading 7 Char"/>
    <w:basedOn w:val="DefaultParagraphFont"/>
    <w:link w:val="Heading7"/>
    <w:uiPriority w:val="9"/>
    <w:semiHidden/>
    <w:rsid w:val="0007637C"/>
    <w:rPr>
      <w:rFonts w:asciiTheme="majorHAnsi" w:eastAsiaTheme="majorEastAsia" w:hAnsiTheme="majorHAnsi" w:cstheme="majorBidi"/>
      <w:i/>
      <w:iCs/>
      <w:color w:val="5B0036" w:themeColor="accent1" w:themeShade="80"/>
      <w:sz w:val="21"/>
      <w:szCs w:val="21"/>
    </w:rPr>
  </w:style>
  <w:style w:type="character" w:customStyle="1" w:styleId="Heading8Char">
    <w:name w:val="Heading 8 Char"/>
    <w:basedOn w:val="DefaultParagraphFont"/>
    <w:link w:val="Heading8"/>
    <w:uiPriority w:val="9"/>
    <w:semiHidden/>
    <w:rsid w:val="0007637C"/>
    <w:rPr>
      <w:rFonts w:asciiTheme="majorHAnsi" w:eastAsiaTheme="majorEastAsia" w:hAnsiTheme="majorHAnsi" w:cstheme="majorBidi"/>
      <w:b/>
      <w:bCs/>
      <w:color w:val="262626" w:themeColor="text2"/>
    </w:rPr>
  </w:style>
  <w:style w:type="character" w:customStyle="1" w:styleId="Heading9Char">
    <w:name w:val="Heading 9 Char"/>
    <w:basedOn w:val="DefaultParagraphFont"/>
    <w:link w:val="Heading9"/>
    <w:uiPriority w:val="9"/>
    <w:semiHidden/>
    <w:rsid w:val="0007637C"/>
    <w:rPr>
      <w:rFonts w:asciiTheme="majorHAnsi" w:eastAsiaTheme="majorEastAsia" w:hAnsiTheme="majorHAnsi" w:cstheme="majorBidi"/>
      <w:b/>
      <w:bCs/>
      <w:i/>
      <w:iCs/>
      <w:color w:val="262626" w:themeColor="text2"/>
    </w:rPr>
  </w:style>
  <w:style w:type="paragraph" w:styleId="Caption">
    <w:name w:val="caption"/>
    <w:basedOn w:val="Normal"/>
    <w:next w:val="Normal"/>
    <w:uiPriority w:val="35"/>
    <w:semiHidden/>
    <w:unhideWhenUsed/>
    <w:qFormat/>
    <w:rsid w:val="0007637C"/>
    <w:pPr>
      <w:spacing w:line="240" w:lineRule="auto"/>
    </w:pPr>
    <w:rPr>
      <w:b/>
      <w:bCs/>
      <w:smallCaps/>
      <w:color w:val="717171" w:themeColor="text1" w:themeTint="A6"/>
      <w:spacing w:val="6"/>
    </w:rPr>
  </w:style>
  <w:style w:type="character" w:styleId="Strong">
    <w:name w:val="Strong"/>
    <w:basedOn w:val="DefaultParagraphFont"/>
    <w:uiPriority w:val="22"/>
    <w:qFormat/>
    <w:rsid w:val="0007637C"/>
    <w:rPr>
      <w:b/>
      <w:bCs/>
    </w:rPr>
  </w:style>
  <w:style w:type="character" w:styleId="Emphasis">
    <w:name w:val="Emphasis"/>
    <w:basedOn w:val="DefaultParagraphFont"/>
    <w:uiPriority w:val="20"/>
    <w:qFormat/>
    <w:rsid w:val="0007637C"/>
    <w:rPr>
      <w:i/>
      <w:iCs/>
    </w:rPr>
  </w:style>
  <w:style w:type="paragraph" w:styleId="Quote">
    <w:name w:val="Quote"/>
    <w:basedOn w:val="Normal"/>
    <w:next w:val="Normal"/>
    <w:link w:val="QuoteChar"/>
    <w:uiPriority w:val="29"/>
    <w:qFormat/>
    <w:rsid w:val="0007637C"/>
    <w:pPr>
      <w:spacing w:before="160"/>
      <w:ind w:left="720" w:right="720"/>
    </w:pPr>
    <w:rPr>
      <w:i/>
      <w:iCs/>
      <w:color w:val="5C5C5C" w:themeColor="text1" w:themeTint="BF"/>
    </w:rPr>
  </w:style>
  <w:style w:type="character" w:customStyle="1" w:styleId="QuoteChar">
    <w:name w:val="Quote Char"/>
    <w:basedOn w:val="DefaultParagraphFont"/>
    <w:link w:val="Quote"/>
    <w:uiPriority w:val="29"/>
    <w:rsid w:val="0007637C"/>
    <w:rPr>
      <w:i/>
      <w:iCs/>
      <w:color w:val="5C5C5C" w:themeColor="text1" w:themeTint="BF"/>
    </w:rPr>
  </w:style>
  <w:style w:type="paragraph" w:styleId="IntenseQuote">
    <w:name w:val="Intense Quote"/>
    <w:basedOn w:val="Normal"/>
    <w:next w:val="Normal"/>
    <w:link w:val="IntenseQuoteChar"/>
    <w:uiPriority w:val="30"/>
    <w:qFormat/>
    <w:rsid w:val="0007637C"/>
    <w:pPr>
      <w:pBdr>
        <w:left w:val="single" w:sz="18" w:space="12" w:color="B6006C" w:themeColor="accent1"/>
      </w:pBdr>
      <w:spacing w:before="100" w:beforeAutospacing="1" w:line="300" w:lineRule="auto"/>
      <w:ind w:left="1224" w:right="1224"/>
    </w:pPr>
    <w:rPr>
      <w:rFonts w:asciiTheme="majorHAnsi" w:eastAsiaTheme="majorEastAsia" w:hAnsiTheme="majorHAnsi" w:cstheme="majorBidi"/>
      <w:color w:val="B6006C" w:themeColor="accent1"/>
      <w:szCs w:val="28"/>
    </w:rPr>
  </w:style>
  <w:style w:type="character" w:customStyle="1" w:styleId="IntenseQuoteChar">
    <w:name w:val="Intense Quote Char"/>
    <w:basedOn w:val="DefaultParagraphFont"/>
    <w:link w:val="IntenseQuote"/>
    <w:uiPriority w:val="30"/>
    <w:rsid w:val="0007637C"/>
    <w:rPr>
      <w:rFonts w:asciiTheme="majorHAnsi" w:eastAsiaTheme="majorEastAsia" w:hAnsiTheme="majorHAnsi" w:cstheme="majorBidi"/>
      <w:color w:val="B6006C" w:themeColor="accent1"/>
      <w:sz w:val="28"/>
      <w:szCs w:val="28"/>
    </w:rPr>
  </w:style>
  <w:style w:type="character" w:styleId="SubtleEmphasis">
    <w:name w:val="Subtle Emphasis"/>
    <w:basedOn w:val="DefaultParagraphFont"/>
    <w:uiPriority w:val="19"/>
    <w:qFormat/>
    <w:rsid w:val="0007637C"/>
    <w:rPr>
      <w:i/>
      <w:iCs/>
      <w:color w:val="5C5C5C" w:themeColor="text1" w:themeTint="BF"/>
    </w:rPr>
  </w:style>
  <w:style w:type="character" w:styleId="IntenseEmphasis">
    <w:name w:val="Intense Emphasis"/>
    <w:basedOn w:val="DefaultParagraphFont"/>
    <w:uiPriority w:val="21"/>
    <w:qFormat/>
    <w:rsid w:val="0007637C"/>
    <w:rPr>
      <w:b/>
      <w:bCs/>
      <w:i/>
      <w:iCs/>
    </w:rPr>
  </w:style>
  <w:style w:type="character" w:styleId="SubtleReference">
    <w:name w:val="Subtle Reference"/>
    <w:basedOn w:val="DefaultParagraphFont"/>
    <w:uiPriority w:val="31"/>
    <w:qFormat/>
    <w:rsid w:val="0007637C"/>
    <w:rPr>
      <w:smallCaps/>
      <w:color w:val="5C5C5C" w:themeColor="text1" w:themeTint="BF"/>
      <w:u w:val="single" w:color="929292" w:themeColor="text1" w:themeTint="80"/>
    </w:rPr>
  </w:style>
  <w:style w:type="character" w:styleId="IntenseReference">
    <w:name w:val="Intense Reference"/>
    <w:basedOn w:val="DefaultParagraphFont"/>
    <w:uiPriority w:val="32"/>
    <w:qFormat/>
    <w:rsid w:val="0007637C"/>
    <w:rPr>
      <w:b/>
      <w:bCs/>
      <w:smallCaps/>
      <w:spacing w:val="5"/>
      <w:u w:val="single"/>
    </w:rPr>
  </w:style>
  <w:style w:type="character" w:styleId="BookTitle">
    <w:name w:val="Book Title"/>
    <w:basedOn w:val="DefaultParagraphFont"/>
    <w:uiPriority w:val="33"/>
    <w:qFormat/>
    <w:rsid w:val="0007637C"/>
    <w:rPr>
      <w:b/>
      <w:bCs/>
      <w:smallCaps/>
    </w:rPr>
  </w:style>
  <w:style w:type="paragraph" w:styleId="EndnoteText">
    <w:name w:val="endnote text"/>
    <w:basedOn w:val="Normal"/>
    <w:link w:val="EndnoteTextChar"/>
    <w:uiPriority w:val="99"/>
    <w:semiHidden/>
    <w:unhideWhenUsed/>
    <w:rsid w:val="005D459D"/>
    <w:pPr>
      <w:spacing w:after="0" w:line="240" w:lineRule="auto"/>
    </w:pPr>
    <w:rPr>
      <w:sz w:val="20"/>
    </w:rPr>
  </w:style>
  <w:style w:type="character" w:customStyle="1" w:styleId="EndnoteTextChar">
    <w:name w:val="Endnote Text Char"/>
    <w:basedOn w:val="DefaultParagraphFont"/>
    <w:link w:val="EndnoteText"/>
    <w:uiPriority w:val="99"/>
    <w:semiHidden/>
    <w:rsid w:val="005D459D"/>
  </w:style>
  <w:style w:type="character" w:styleId="EndnoteReference">
    <w:name w:val="endnote reference"/>
    <w:basedOn w:val="DefaultParagraphFont"/>
    <w:uiPriority w:val="99"/>
    <w:semiHidden/>
    <w:unhideWhenUsed/>
    <w:rsid w:val="005D459D"/>
    <w:rPr>
      <w:vertAlign w:val="superscript"/>
    </w:rPr>
  </w:style>
</w:styles>
</file>

<file path=word/tasks.xml><?xml version="1.0" encoding="utf-8"?>
<t:Tasks xmlns:t="http://schemas.microsoft.com/office/tasks/2019/documenttasks" xmlns:oel="http://schemas.microsoft.com/office/2019/extlst">
  <t:Task id="{9BD471EB-DE61-4811-8BED-19B05B409C4C}">
    <t:Anchor>
      <t:Comment id="1636728753"/>
    </t:Anchor>
    <t:History>
      <t:Event id="{B19D812C-56F9-4068-8F9D-9B9275383176}" time="2022-05-03T16:17:11.638Z">
        <t:Attribution userId="S::s.davidge@womensaid.org.uk::93bf20f4-558f-439a-ba01-a9b7f49408ae" userProvider="AD" userName="Sarah Davidge"/>
        <t:Anchor>
          <t:Comment id="1636728753"/>
        </t:Anchor>
        <t:Create/>
      </t:Event>
      <t:Event id="{679AC846-1079-4A5D-87F3-28B23C84525F}" time="2022-05-03T16:17:11.638Z">
        <t:Attribution userId="S::s.davidge@womensaid.org.uk::93bf20f4-558f-439a-ba01-a9b7f49408ae" userProvider="AD" userName="Sarah Davidge"/>
        <t:Anchor>
          <t:Comment id="1636728753"/>
        </t:Anchor>
        <t:Assign userId="S::s.francis-cansfield@womensaid.org.uk::9b625337-c838-4915-b601-168915e44493" userProvider="AD" userName="Sophie Francis-Cansfield"/>
      </t:Event>
      <t:Event id="{813CDC3E-624F-4A30-82C7-70D53C1848EC}" time="2022-05-03T16:17:11.638Z">
        <t:Attribution userId="S::s.davidge@womensaid.org.uk::93bf20f4-558f-439a-ba01-a9b7f49408ae" userProvider="AD" userName="Sarah Davidge"/>
        <t:Anchor>
          <t:Comment id="1636728753"/>
        </t:Anchor>
        <t:SetTitle title="@Sophie Francis-Cansfield this is presumably one for local authorities? Or are we asking for it to be in central guidance to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1171">
      <w:bodyDiv w:val="1"/>
      <w:marLeft w:val="0"/>
      <w:marRight w:val="0"/>
      <w:marTop w:val="0"/>
      <w:marBottom w:val="0"/>
      <w:divBdr>
        <w:top w:val="none" w:sz="0" w:space="0" w:color="auto"/>
        <w:left w:val="none" w:sz="0" w:space="0" w:color="auto"/>
        <w:bottom w:val="none" w:sz="0" w:space="0" w:color="auto"/>
        <w:right w:val="none" w:sz="0" w:space="0" w:color="auto"/>
      </w:divBdr>
      <w:divsChild>
        <w:div w:id="1833332662">
          <w:marLeft w:val="0"/>
          <w:marRight w:val="0"/>
          <w:marTop w:val="0"/>
          <w:marBottom w:val="0"/>
          <w:divBdr>
            <w:top w:val="none" w:sz="0" w:space="0" w:color="auto"/>
            <w:left w:val="none" w:sz="0" w:space="0" w:color="auto"/>
            <w:bottom w:val="none" w:sz="0" w:space="0" w:color="auto"/>
            <w:right w:val="none" w:sz="0" w:space="0" w:color="auto"/>
          </w:divBdr>
        </w:div>
        <w:div w:id="1362243699">
          <w:marLeft w:val="0"/>
          <w:marRight w:val="0"/>
          <w:marTop w:val="0"/>
          <w:marBottom w:val="0"/>
          <w:divBdr>
            <w:top w:val="none" w:sz="0" w:space="0" w:color="auto"/>
            <w:left w:val="none" w:sz="0" w:space="0" w:color="auto"/>
            <w:bottom w:val="none" w:sz="0" w:space="0" w:color="auto"/>
            <w:right w:val="none" w:sz="0" w:space="0" w:color="auto"/>
          </w:divBdr>
        </w:div>
        <w:div w:id="1408192201">
          <w:marLeft w:val="0"/>
          <w:marRight w:val="0"/>
          <w:marTop w:val="0"/>
          <w:marBottom w:val="0"/>
          <w:divBdr>
            <w:top w:val="none" w:sz="0" w:space="0" w:color="auto"/>
            <w:left w:val="none" w:sz="0" w:space="0" w:color="auto"/>
            <w:bottom w:val="none" w:sz="0" w:space="0" w:color="auto"/>
            <w:right w:val="none" w:sz="0" w:space="0" w:color="auto"/>
          </w:divBdr>
        </w:div>
      </w:divsChild>
    </w:div>
    <w:div w:id="257368942">
      <w:bodyDiv w:val="1"/>
      <w:marLeft w:val="0"/>
      <w:marRight w:val="0"/>
      <w:marTop w:val="0"/>
      <w:marBottom w:val="0"/>
      <w:divBdr>
        <w:top w:val="none" w:sz="0" w:space="0" w:color="auto"/>
        <w:left w:val="none" w:sz="0" w:space="0" w:color="auto"/>
        <w:bottom w:val="none" w:sz="0" w:space="0" w:color="auto"/>
        <w:right w:val="none" w:sz="0" w:space="0" w:color="auto"/>
      </w:divBdr>
      <w:divsChild>
        <w:div w:id="792865707">
          <w:marLeft w:val="0"/>
          <w:marRight w:val="0"/>
          <w:marTop w:val="0"/>
          <w:marBottom w:val="0"/>
          <w:divBdr>
            <w:top w:val="none" w:sz="0" w:space="0" w:color="auto"/>
            <w:left w:val="none" w:sz="0" w:space="0" w:color="auto"/>
            <w:bottom w:val="none" w:sz="0" w:space="0" w:color="auto"/>
            <w:right w:val="none" w:sz="0" w:space="0" w:color="auto"/>
          </w:divBdr>
        </w:div>
        <w:div w:id="1542742034">
          <w:marLeft w:val="0"/>
          <w:marRight w:val="0"/>
          <w:marTop w:val="0"/>
          <w:marBottom w:val="0"/>
          <w:divBdr>
            <w:top w:val="none" w:sz="0" w:space="0" w:color="auto"/>
            <w:left w:val="none" w:sz="0" w:space="0" w:color="auto"/>
            <w:bottom w:val="none" w:sz="0" w:space="0" w:color="auto"/>
            <w:right w:val="none" w:sz="0" w:space="0" w:color="auto"/>
          </w:divBdr>
        </w:div>
        <w:div w:id="685904004">
          <w:marLeft w:val="0"/>
          <w:marRight w:val="0"/>
          <w:marTop w:val="0"/>
          <w:marBottom w:val="0"/>
          <w:divBdr>
            <w:top w:val="none" w:sz="0" w:space="0" w:color="auto"/>
            <w:left w:val="none" w:sz="0" w:space="0" w:color="auto"/>
            <w:bottom w:val="none" w:sz="0" w:space="0" w:color="auto"/>
            <w:right w:val="none" w:sz="0" w:space="0" w:color="auto"/>
          </w:divBdr>
        </w:div>
        <w:div w:id="531380328">
          <w:marLeft w:val="0"/>
          <w:marRight w:val="0"/>
          <w:marTop w:val="0"/>
          <w:marBottom w:val="0"/>
          <w:divBdr>
            <w:top w:val="none" w:sz="0" w:space="0" w:color="auto"/>
            <w:left w:val="none" w:sz="0" w:space="0" w:color="auto"/>
            <w:bottom w:val="none" w:sz="0" w:space="0" w:color="auto"/>
            <w:right w:val="none" w:sz="0" w:space="0" w:color="auto"/>
          </w:divBdr>
        </w:div>
      </w:divsChild>
    </w:div>
    <w:div w:id="367416187">
      <w:bodyDiv w:val="1"/>
      <w:marLeft w:val="0"/>
      <w:marRight w:val="0"/>
      <w:marTop w:val="0"/>
      <w:marBottom w:val="0"/>
      <w:divBdr>
        <w:top w:val="none" w:sz="0" w:space="0" w:color="auto"/>
        <w:left w:val="none" w:sz="0" w:space="0" w:color="auto"/>
        <w:bottom w:val="none" w:sz="0" w:space="0" w:color="auto"/>
        <w:right w:val="none" w:sz="0" w:space="0" w:color="auto"/>
      </w:divBdr>
      <w:divsChild>
        <w:div w:id="3481658">
          <w:marLeft w:val="0"/>
          <w:marRight w:val="0"/>
          <w:marTop w:val="0"/>
          <w:marBottom w:val="0"/>
          <w:divBdr>
            <w:top w:val="none" w:sz="0" w:space="0" w:color="auto"/>
            <w:left w:val="none" w:sz="0" w:space="0" w:color="auto"/>
            <w:bottom w:val="none" w:sz="0" w:space="0" w:color="auto"/>
            <w:right w:val="none" w:sz="0" w:space="0" w:color="auto"/>
          </w:divBdr>
        </w:div>
        <w:div w:id="1859464679">
          <w:marLeft w:val="0"/>
          <w:marRight w:val="0"/>
          <w:marTop w:val="0"/>
          <w:marBottom w:val="0"/>
          <w:divBdr>
            <w:top w:val="none" w:sz="0" w:space="0" w:color="auto"/>
            <w:left w:val="none" w:sz="0" w:space="0" w:color="auto"/>
            <w:bottom w:val="none" w:sz="0" w:space="0" w:color="auto"/>
            <w:right w:val="none" w:sz="0" w:space="0" w:color="auto"/>
          </w:divBdr>
        </w:div>
      </w:divsChild>
    </w:div>
    <w:div w:id="623653796">
      <w:bodyDiv w:val="1"/>
      <w:marLeft w:val="0"/>
      <w:marRight w:val="0"/>
      <w:marTop w:val="0"/>
      <w:marBottom w:val="0"/>
      <w:divBdr>
        <w:top w:val="none" w:sz="0" w:space="0" w:color="auto"/>
        <w:left w:val="none" w:sz="0" w:space="0" w:color="auto"/>
        <w:bottom w:val="none" w:sz="0" w:space="0" w:color="auto"/>
        <w:right w:val="none" w:sz="0" w:space="0" w:color="auto"/>
      </w:divBdr>
      <w:divsChild>
        <w:div w:id="1640263849">
          <w:marLeft w:val="0"/>
          <w:marRight w:val="0"/>
          <w:marTop w:val="0"/>
          <w:marBottom w:val="0"/>
          <w:divBdr>
            <w:top w:val="none" w:sz="0" w:space="0" w:color="auto"/>
            <w:left w:val="none" w:sz="0" w:space="0" w:color="auto"/>
            <w:bottom w:val="none" w:sz="0" w:space="0" w:color="auto"/>
            <w:right w:val="none" w:sz="0" w:space="0" w:color="auto"/>
          </w:divBdr>
        </w:div>
        <w:div w:id="523398786">
          <w:marLeft w:val="0"/>
          <w:marRight w:val="0"/>
          <w:marTop w:val="0"/>
          <w:marBottom w:val="0"/>
          <w:divBdr>
            <w:top w:val="none" w:sz="0" w:space="0" w:color="auto"/>
            <w:left w:val="none" w:sz="0" w:space="0" w:color="auto"/>
            <w:bottom w:val="none" w:sz="0" w:space="0" w:color="auto"/>
            <w:right w:val="none" w:sz="0" w:space="0" w:color="auto"/>
          </w:divBdr>
        </w:div>
      </w:divsChild>
    </w:div>
    <w:div w:id="1002394341">
      <w:bodyDiv w:val="1"/>
      <w:marLeft w:val="0"/>
      <w:marRight w:val="0"/>
      <w:marTop w:val="0"/>
      <w:marBottom w:val="0"/>
      <w:divBdr>
        <w:top w:val="none" w:sz="0" w:space="0" w:color="auto"/>
        <w:left w:val="none" w:sz="0" w:space="0" w:color="auto"/>
        <w:bottom w:val="none" w:sz="0" w:space="0" w:color="auto"/>
        <w:right w:val="none" w:sz="0" w:space="0" w:color="auto"/>
      </w:divBdr>
    </w:div>
    <w:div w:id="1350523914">
      <w:bodyDiv w:val="1"/>
      <w:marLeft w:val="0"/>
      <w:marRight w:val="0"/>
      <w:marTop w:val="0"/>
      <w:marBottom w:val="0"/>
      <w:divBdr>
        <w:top w:val="none" w:sz="0" w:space="0" w:color="auto"/>
        <w:left w:val="none" w:sz="0" w:space="0" w:color="auto"/>
        <w:bottom w:val="none" w:sz="0" w:space="0" w:color="auto"/>
        <w:right w:val="none" w:sz="0" w:space="0" w:color="auto"/>
      </w:divBdr>
      <w:divsChild>
        <w:div w:id="268657533">
          <w:marLeft w:val="0"/>
          <w:marRight w:val="0"/>
          <w:marTop w:val="0"/>
          <w:marBottom w:val="0"/>
          <w:divBdr>
            <w:top w:val="none" w:sz="0" w:space="0" w:color="auto"/>
            <w:left w:val="none" w:sz="0" w:space="0" w:color="auto"/>
            <w:bottom w:val="none" w:sz="0" w:space="0" w:color="auto"/>
            <w:right w:val="none" w:sz="0" w:space="0" w:color="auto"/>
          </w:divBdr>
        </w:div>
        <w:div w:id="1226602751">
          <w:marLeft w:val="0"/>
          <w:marRight w:val="0"/>
          <w:marTop w:val="0"/>
          <w:marBottom w:val="0"/>
          <w:divBdr>
            <w:top w:val="none" w:sz="0" w:space="0" w:color="auto"/>
            <w:left w:val="none" w:sz="0" w:space="0" w:color="auto"/>
            <w:bottom w:val="none" w:sz="0" w:space="0" w:color="auto"/>
            <w:right w:val="none" w:sz="0" w:space="0" w:color="auto"/>
          </w:divBdr>
        </w:div>
        <w:div w:id="190149502">
          <w:marLeft w:val="0"/>
          <w:marRight w:val="0"/>
          <w:marTop w:val="0"/>
          <w:marBottom w:val="0"/>
          <w:divBdr>
            <w:top w:val="none" w:sz="0" w:space="0" w:color="auto"/>
            <w:left w:val="none" w:sz="0" w:space="0" w:color="auto"/>
            <w:bottom w:val="none" w:sz="0" w:space="0" w:color="auto"/>
            <w:right w:val="none" w:sz="0" w:space="0" w:color="auto"/>
          </w:divBdr>
        </w:div>
      </w:divsChild>
    </w:div>
    <w:div w:id="1589801926">
      <w:bodyDiv w:val="1"/>
      <w:marLeft w:val="0"/>
      <w:marRight w:val="0"/>
      <w:marTop w:val="0"/>
      <w:marBottom w:val="0"/>
      <w:divBdr>
        <w:top w:val="none" w:sz="0" w:space="0" w:color="auto"/>
        <w:left w:val="none" w:sz="0" w:space="0" w:color="auto"/>
        <w:bottom w:val="none" w:sz="0" w:space="0" w:color="auto"/>
        <w:right w:val="none" w:sz="0" w:space="0" w:color="auto"/>
      </w:divBdr>
      <w:divsChild>
        <w:div w:id="1705325294">
          <w:marLeft w:val="0"/>
          <w:marRight w:val="0"/>
          <w:marTop w:val="0"/>
          <w:marBottom w:val="0"/>
          <w:divBdr>
            <w:top w:val="none" w:sz="0" w:space="0" w:color="auto"/>
            <w:left w:val="none" w:sz="0" w:space="0" w:color="auto"/>
            <w:bottom w:val="none" w:sz="0" w:space="0" w:color="auto"/>
            <w:right w:val="none" w:sz="0" w:space="0" w:color="auto"/>
          </w:divBdr>
        </w:div>
        <w:div w:id="1573613277">
          <w:marLeft w:val="0"/>
          <w:marRight w:val="0"/>
          <w:marTop w:val="0"/>
          <w:marBottom w:val="0"/>
          <w:divBdr>
            <w:top w:val="none" w:sz="0" w:space="0" w:color="auto"/>
            <w:left w:val="none" w:sz="0" w:space="0" w:color="auto"/>
            <w:bottom w:val="none" w:sz="0" w:space="0" w:color="auto"/>
            <w:right w:val="none" w:sz="0" w:space="0" w:color="auto"/>
          </w:divBdr>
        </w:div>
        <w:div w:id="925967429">
          <w:marLeft w:val="0"/>
          <w:marRight w:val="0"/>
          <w:marTop w:val="0"/>
          <w:marBottom w:val="0"/>
          <w:divBdr>
            <w:top w:val="none" w:sz="0" w:space="0" w:color="auto"/>
            <w:left w:val="none" w:sz="0" w:space="0" w:color="auto"/>
            <w:bottom w:val="none" w:sz="0" w:space="0" w:color="auto"/>
            <w:right w:val="none" w:sz="0" w:space="0" w:color="auto"/>
          </w:divBdr>
        </w:div>
        <w:div w:id="2130082704">
          <w:marLeft w:val="0"/>
          <w:marRight w:val="0"/>
          <w:marTop w:val="0"/>
          <w:marBottom w:val="0"/>
          <w:divBdr>
            <w:top w:val="none" w:sz="0" w:space="0" w:color="auto"/>
            <w:left w:val="none" w:sz="0" w:space="0" w:color="auto"/>
            <w:bottom w:val="none" w:sz="0" w:space="0" w:color="auto"/>
            <w:right w:val="none" w:sz="0" w:space="0" w:color="auto"/>
          </w:divBdr>
        </w:div>
      </w:divsChild>
    </w:div>
    <w:div w:id="1716538503">
      <w:bodyDiv w:val="1"/>
      <w:marLeft w:val="0"/>
      <w:marRight w:val="0"/>
      <w:marTop w:val="0"/>
      <w:marBottom w:val="0"/>
      <w:divBdr>
        <w:top w:val="none" w:sz="0" w:space="0" w:color="auto"/>
        <w:left w:val="none" w:sz="0" w:space="0" w:color="auto"/>
        <w:bottom w:val="none" w:sz="0" w:space="0" w:color="auto"/>
        <w:right w:val="none" w:sz="0" w:space="0" w:color="auto"/>
      </w:divBdr>
    </w:div>
    <w:div w:id="1822842057">
      <w:bodyDiv w:val="1"/>
      <w:marLeft w:val="0"/>
      <w:marRight w:val="0"/>
      <w:marTop w:val="0"/>
      <w:marBottom w:val="0"/>
      <w:divBdr>
        <w:top w:val="none" w:sz="0" w:space="0" w:color="auto"/>
        <w:left w:val="none" w:sz="0" w:space="0" w:color="auto"/>
        <w:bottom w:val="none" w:sz="0" w:space="0" w:color="auto"/>
        <w:right w:val="none" w:sz="0" w:space="0" w:color="auto"/>
      </w:divBdr>
      <w:divsChild>
        <w:div w:id="1986009196">
          <w:marLeft w:val="0"/>
          <w:marRight w:val="0"/>
          <w:marTop w:val="0"/>
          <w:marBottom w:val="0"/>
          <w:divBdr>
            <w:top w:val="none" w:sz="0" w:space="0" w:color="auto"/>
            <w:left w:val="none" w:sz="0" w:space="0" w:color="auto"/>
            <w:bottom w:val="none" w:sz="0" w:space="0" w:color="auto"/>
            <w:right w:val="none" w:sz="0" w:space="0" w:color="auto"/>
          </w:divBdr>
        </w:div>
        <w:div w:id="1701466611">
          <w:marLeft w:val="0"/>
          <w:marRight w:val="0"/>
          <w:marTop w:val="0"/>
          <w:marBottom w:val="0"/>
          <w:divBdr>
            <w:top w:val="none" w:sz="0" w:space="0" w:color="auto"/>
            <w:left w:val="none" w:sz="0" w:space="0" w:color="auto"/>
            <w:bottom w:val="none" w:sz="0" w:space="0" w:color="auto"/>
            <w:right w:val="none" w:sz="0" w:space="0" w:color="auto"/>
          </w:divBdr>
        </w:div>
      </w:divsChild>
    </w:div>
    <w:div w:id="1970895457">
      <w:bodyDiv w:val="1"/>
      <w:marLeft w:val="0"/>
      <w:marRight w:val="0"/>
      <w:marTop w:val="0"/>
      <w:marBottom w:val="0"/>
      <w:divBdr>
        <w:top w:val="none" w:sz="0" w:space="0" w:color="auto"/>
        <w:left w:val="none" w:sz="0" w:space="0" w:color="auto"/>
        <w:bottom w:val="none" w:sz="0" w:space="0" w:color="auto"/>
        <w:right w:val="none" w:sz="0" w:space="0" w:color="auto"/>
      </w:divBdr>
    </w:div>
    <w:div w:id="2010256542">
      <w:bodyDiv w:val="1"/>
      <w:marLeft w:val="0"/>
      <w:marRight w:val="0"/>
      <w:marTop w:val="0"/>
      <w:marBottom w:val="0"/>
      <w:divBdr>
        <w:top w:val="none" w:sz="0" w:space="0" w:color="auto"/>
        <w:left w:val="none" w:sz="0" w:space="0" w:color="auto"/>
        <w:bottom w:val="none" w:sz="0" w:space="0" w:color="auto"/>
        <w:right w:val="none" w:sz="0" w:space="0" w:color="auto"/>
      </w:divBdr>
    </w:div>
    <w:div w:id="2124109564">
      <w:bodyDiv w:val="1"/>
      <w:marLeft w:val="0"/>
      <w:marRight w:val="0"/>
      <w:marTop w:val="0"/>
      <w:marBottom w:val="0"/>
      <w:divBdr>
        <w:top w:val="none" w:sz="0" w:space="0" w:color="auto"/>
        <w:left w:val="none" w:sz="0" w:space="0" w:color="auto"/>
        <w:bottom w:val="none" w:sz="0" w:space="0" w:color="auto"/>
        <w:right w:val="none" w:sz="0" w:space="0" w:color="auto"/>
      </w:divBdr>
      <w:divsChild>
        <w:div w:id="595944307">
          <w:marLeft w:val="0"/>
          <w:marRight w:val="0"/>
          <w:marTop w:val="0"/>
          <w:marBottom w:val="0"/>
          <w:divBdr>
            <w:top w:val="none" w:sz="0" w:space="0" w:color="auto"/>
            <w:left w:val="none" w:sz="0" w:space="0" w:color="auto"/>
            <w:bottom w:val="none" w:sz="0" w:space="0" w:color="auto"/>
            <w:right w:val="none" w:sz="0" w:space="0" w:color="auto"/>
          </w:divBdr>
        </w:div>
        <w:div w:id="125894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ldrenslegalcentre.com/resources/section-17-support/" TargetMode="External"/><Relationship Id="rId18" Type="http://schemas.openxmlformats.org/officeDocument/2006/relationships/hyperlink" Target="https://committees.parliament.uk/publications/9251/documents/160043/default/" TargetMode="External"/><Relationship Id="rId26" Type="http://schemas.openxmlformats.org/officeDocument/2006/relationships/hyperlink" Target="https://www.womensaid.org.uk/wp-content/uploads/2021/12/FINAL-WA-literature-review.pdf" TargetMode="External"/><Relationship Id="R4ba36a3be321402e"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rightsofwomen.org.uk/wp-content/uploads/2019/02/Accessible-or-beyond-reach.pdf" TargetMode="Externa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gov.uk/government/publications/domestic-abuse-bill-2020-factsheets/local-authority-support-for-victims-of-domestic-abuse-and-their-children-within-safe-accommodation-factsheet" TargetMode="External"/><Relationship Id="rId25" Type="http://schemas.openxmlformats.org/officeDocument/2006/relationships/hyperlink" Target="https://www.womensaid.org.uk/wp-content/uploads/2021/09/Nowhere-to-Turn-2021.pdf" TargetMode="External"/><Relationship Id="rId33" Type="http://schemas.openxmlformats.org/officeDocument/2006/relationships/theme" Target="theme/theme1.xml"/><Relationship Id="Rb70739d4b3fe42f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gov.uk/government/publications/domestic-abuse-support-within-safe-accommodation/delivery-of-support-to-victims-of-domestic-abuse-in-domestic-abuse-safe-accommodation-services" TargetMode="External"/><Relationship Id="rId20" Type="http://schemas.openxmlformats.org/officeDocument/2006/relationships/hyperlink" Target="https://www.ons.gov.uk/employmentandlabourmarket/peopleinwork/employmentandemployeetypes/articles/homeworkingandspendingduringthecoronaviruscovid19pandemicgreatbritain/april2020tojanuary2022" TargetMode="External"/><Relationship Id="rId29" Type="http://schemas.openxmlformats.org/officeDocument/2006/relationships/hyperlink" Target="https://www.womensaid.org.uk/wp-content/uploads/2022/03/Financial-Hardship-report-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mensaid.org.uk/wp-content/uploads/2020/06/The-Domestic-Abuse-Report-2020-The-Hidden-Housing-Crisi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media/5ef9d8613a6f4023cf12fc67/current_Homelessness_Code_of_Guidance.pdf" TargetMode="External"/><Relationship Id="rId23" Type="http://schemas.openxmlformats.org/officeDocument/2006/relationships/hyperlink" Target="https://www.womensaid.org.uk/wp-content/uploads/2020/08/A-Perfect-Storm-August-2020-1.pdf" TargetMode="External"/><Relationship Id="rId28" Type="http://schemas.openxmlformats.org/officeDocument/2006/relationships/hyperlink" Target="https://www.womensaid.org.uk/wp-content/uploads/2022/03/The-Domestic-Abuse-Report-2022-The-Annual-Audit.pdf" TargetMode="External"/><Relationship Id="rId10" Type="http://schemas.openxmlformats.org/officeDocument/2006/relationships/footnotes" Target="footnotes.xml"/><Relationship Id="rId19" Type="http://schemas.openxmlformats.org/officeDocument/2006/relationships/hyperlink" Target="https://docs.wixstatic.com/ugd/2f475d_9cab044d7d25404d85da289b70978237.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63639/DfE_Evidence_summary_COVID-19_-_children__young_people_and_education_settings.pdf" TargetMode="External"/><Relationship Id="rId22" Type="http://schemas.openxmlformats.org/officeDocument/2006/relationships/hyperlink" Target="https://www.womensaid.org.uk/wp-content/uploads/2021/03/Nowhere-to-Turn-2019-Full-Report.pdf" TargetMode="External"/><Relationship Id="rId27" Type="http://schemas.openxmlformats.org/officeDocument/2006/relationships/hyperlink" Target="https://www.womensaid.org.uk/wp-content/uploads/2021/02/Fragile-funding-landscape-the-extent-of-local-authority-commissioning-in-the-domestic-abuse-refuge-sector-in-England-2020.pdf" TargetMode="External"/><Relationship Id="rId30" Type="http://schemas.openxmlformats.org/officeDocument/2006/relationships/footer" Target="footer1.xml"/><Relationship Id="Rc04d4a7235334f6e" Type="http://schemas.microsoft.com/office/2019/05/relationships/documenttasks" Target="tasks.xml"/></Relationships>
</file>

<file path=word/_rels/footnotes.xml.rels><?xml version="1.0" encoding="UTF-8" standalone="yes"?>
<Relationships xmlns="http://schemas.openxmlformats.org/package/2006/relationships"><Relationship Id="rId2" Type="http://schemas.openxmlformats.org/officeDocument/2006/relationships/hyperlink" Target="https://www.equalityhumanrights.com/sites/default/files/research-report-86-the-impact-of-changes-in-commissioning-and-funding-on-women-only-services.pdf" TargetMode="External"/><Relationship Id="rId1" Type="http://schemas.openxmlformats.org/officeDocument/2006/relationships/hyperlink" Target="https://www.womensaid.org.uk/no-woman-turned-aw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300">
                <a:solidFill>
                  <a:srgbClr val="B6006C"/>
                </a:solidFill>
              </a:rPr>
              <a:t>Percentage</a:t>
            </a:r>
            <a:r>
              <a:rPr lang="en-GB" sz="1300" baseline="0">
                <a:solidFill>
                  <a:srgbClr val="B6006C"/>
                </a:solidFill>
              </a:rPr>
              <a:t> of survivors who e</a:t>
            </a:r>
            <a:r>
              <a:rPr lang="en-GB" sz="1300">
                <a:solidFill>
                  <a:srgbClr val="B6006C"/>
                </a:solidFill>
              </a:rPr>
              <a:t>xperienced further abuse from the perpetrator whilst waiting for refuge by reporting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Experienced further abuse from the perpetrator whilst waiting for refuge</c:v>
                </c:pt>
              </c:strCache>
            </c:strRef>
          </c:tx>
          <c:spPr>
            <a:ln w="28575" cap="rnd">
              <a:solidFill>
                <a:schemeClr val="accent1"/>
              </a:solidFill>
              <a:round/>
            </a:ln>
            <a:effectLst/>
          </c:spPr>
          <c:marker>
            <c:symbol val="none"/>
          </c:marker>
          <c:cat>
            <c:strRef>
              <c:f>Sheet1!$A$2:$A$5</c:f>
              <c:strCache>
                <c:ptCount val="4"/>
                <c:pt idx="0">
                  <c:v>NWTA 2019</c:v>
                </c:pt>
                <c:pt idx="1">
                  <c:v>NWTA 2020</c:v>
                </c:pt>
                <c:pt idx="2">
                  <c:v>NWTA 2021</c:v>
                </c:pt>
                <c:pt idx="3">
                  <c:v>NWTA 2022</c:v>
                </c:pt>
              </c:strCache>
            </c:strRef>
          </c:cat>
          <c:val>
            <c:numRef>
              <c:f>Sheet1!$B$2:$B$5</c:f>
              <c:numCache>
                <c:formatCode>0.00%</c:formatCode>
                <c:ptCount val="4"/>
                <c:pt idx="0">
                  <c:v>0.191</c:v>
                </c:pt>
                <c:pt idx="1">
                  <c:v>0.16</c:v>
                </c:pt>
                <c:pt idx="2">
                  <c:v>0.29499999999999998</c:v>
                </c:pt>
                <c:pt idx="3">
                  <c:v>0.32600000000000001</c:v>
                </c:pt>
              </c:numCache>
            </c:numRef>
          </c:val>
          <c:smooth val="0"/>
          <c:extLst>
            <c:ext xmlns:c16="http://schemas.microsoft.com/office/drawing/2014/chart" uri="{C3380CC4-5D6E-409C-BE32-E72D297353CC}">
              <c16:uniqueId val="{00000000-746A-4C17-A618-74D7D70D5D4E}"/>
            </c:ext>
          </c:extLst>
        </c:ser>
        <c:dLbls>
          <c:showLegendKey val="0"/>
          <c:showVal val="0"/>
          <c:showCatName val="0"/>
          <c:showSerName val="0"/>
          <c:showPercent val="0"/>
          <c:showBubbleSize val="0"/>
        </c:dLbls>
        <c:smooth val="0"/>
        <c:axId val="495220032"/>
        <c:axId val="495220688"/>
      </c:lineChart>
      <c:catAx>
        <c:axId val="49522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220688"/>
        <c:crosses val="autoZero"/>
        <c:auto val="1"/>
        <c:lblAlgn val="ctr"/>
        <c:lblOffset val="100"/>
        <c:noMultiLvlLbl val="0"/>
      </c:catAx>
      <c:valAx>
        <c:axId val="495220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22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d0a74f-6cee-4001-a97a-f8dd7300a32f">
      <UserInfo>
        <DisplayName>Sarah Davidge</DisplayName>
        <AccountId>13</AccountId>
        <AccountType/>
      </UserInfo>
      <UserInfo>
        <DisplayName>Isabelle Younane</DisplayName>
        <AccountId>404</AccountId>
        <AccountType/>
      </UserInfo>
      <UserInfo>
        <DisplayName>Zainab Gulamali</DisplayName>
        <AccountId>721</AccountId>
        <AccountType/>
      </UserInfo>
      <UserInfo>
        <DisplayName>Molly Horsburgh</DisplayName>
        <AccountId>476</AccountId>
        <AccountType/>
      </UserInfo>
      <UserInfo>
        <DisplayName>Lizzie McCarthy</DisplayName>
        <AccountId>19</AccountId>
        <AccountType/>
      </UserInfo>
      <UserInfo>
        <DisplayName>Mary-Teresa McAteer</DisplayName>
        <AccountId>658</AccountId>
        <AccountType/>
      </UserInfo>
      <UserInfo>
        <DisplayName>Phoebe Nicholson-Pallett</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3" ma:contentTypeDescription="Create a new document." ma:contentTypeScope="" ma:versionID="666d215f5c4375669e88544878c66d4b">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a6ba318116217fd9f34329417340a333"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3" ma:contentTypeDescription="Create a new document." ma:contentTypeScope="" ma:versionID="666d215f5c4375669e88544878c66d4b">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a6ba318116217fd9f34329417340a333"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E6C4-2266-482E-B0AF-F9D572682D30}">
  <ds:schemaRefs>
    <ds:schemaRef ds:uri="http://schemas.microsoft.com/office/2006/metadata/properties"/>
    <ds:schemaRef ds:uri="http://schemas.microsoft.com/office/infopath/2007/PartnerControls"/>
    <ds:schemaRef ds:uri="ddd0a74f-6cee-4001-a97a-f8dd7300a32f"/>
  </ds:schemaRefs>
</ds:datastoreItem>
</file>

<file path=customXml/itemProps2.xml><?xml version="1.0" encoding="utf-8"?>
<ds:datastoreItem xmlns:ds="http://schemas.openxmlformats.org/officeDocument/2006/customXml" ds:itemID="{3F55AA83-CAC0-403A-8EA3-0F73F2C71443}">
  <ds:schemaRefs>
    <ds:schemaRef ds:uri="http://schemas.microsoft.com/sharepoint/v3/contenttype/forms"/>
  </ds:schemaRefs>
</ds:datastoreItem>
</file>

<file path=customXml/itemProps3.xml><?xml version="1.0" encoding="utf-8"?>
<ds:datastoreItem xmlns:ds="http://schemas.openxmlformats.org/officeDocument/2006/customXml" ds:itemID="{5BDF3FA8-B7DE-4600-A2B6-7AA3EC48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38AE-A73F-4898-A1A0-8CE63B194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97163A-DBAD-49A6-AFC1-DCE152E7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103</Pages>
  <Words>17162</Words>
  <Characters>97829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Nowhere to Turn, 2022</vt:lpstr>
    </vt:vector>
  </TitlesOfParts>
  <Company>HP Inc.</Company>
  <LinksUpToDate>false</LinksUpToDate>
  <CharactersWithSpaces>114762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Nowhere to Turn, 2022</dc:title>
  <dc:subject>Findings</dc:subject>
  <dc:creator>Phoebe Nicholson-Pallett</dc:creator>
  <cp:keywords/>
  <dc:description/>
  <cp:lastModifiedBy>Ellie Lundberg</cp:lastModifiedBy>
  <cp:revision>18</cp:revision>
  <dcterms:created xsi:type="dcterms:W3CDTF">2022-05-05T16:31:00Z</dcterms:created>
  <dcterms:modified xsi:type="dcterms:W3CDTF">2022-05-27T08:34:00Z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